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845" w:rsidRPr="00AF52B8" w:rsidRDefault="00A34845" w:rsidP="00A34845">
      <w:pPr>
        <w:pStyle w:val="TitleBox"/>
        <w:rPr>
          <w:sz w:val="96"/>
          <w:szCs w:val="96"/>
          <w:lang w:val="en-GB"/>
        </w:rPr>
      </w:pPr>
      <w:r w:rsidRPr="00AF52B8">
        <w:rPr>
          <w:sz w:val="96"/>
          <w:szCs w:val="96"/>
          <w:lang w:val="en-GB"/>
        </w:rPr>
        <w:t>SUMMER F</w:t>
      </w:r>
      <w:r w:rsidR="00AF52B8" w:rsidRPr="00AF52B8">
        <w:rPr>
          <w:sz w:val="96"/>
          <w:szCs w:val="96"/>
          <w:lang w:val="en-GB"/>
        </w:rPr>
        <w:t>O</w:t>
      </w:r>
      <w:r w:rsidRPr="00AF52B8">
        <w:rPr>
          <w:sz w:val="96"/>
          <w:szCs w:val="96"/>
          <w:lang w:val="en-GB"/>
        </w:rPr>
        <w:t>UNDATION</w:t>
      </w:r>
    </w:p>
    <w:p w:rsidR="00A34845" w:rsidRPr="00AF52B8" w:rsidRDefault="00A34845" w:rsidP="00A34845">
      <w:pPr>
        <w:pStyle w:val="TitleBox"/>
        <w:rPr>
          <w:sz w:val="96"/>
          <w:szCs w:val="96"/>
          <w:lang w:val="en-GB"/>
        </w:rPr>
      </w:pPr>
      <w:r w:rsidRPr="00AF52B8">
        <w:rPr>
          <w:sz w:val="96"/>
          <w:szCs w:val="96"/>
          <w:lang w:val="en-GB"/>
        </w:rPr>
        <w:t>ANNUAL REPORT</w:t>
      </w:r>
    </w:p>
    <w:p w:rsidR="00B21EDE" w:rsidRDefault="00A34845" w:rsidP="00A34845">
      <w:pPr>
        <w:pStyle w:val="Heading2"/>
        <w:jc w:val="right"/>
        <w:rPr>
          <w:lang w:val="en-GB"/>
        </w:rPr>
      </w:pPr>
      <w:r>
        <w:rPr>
          <w:lang w:val="en-GB"/>
        </w:rPr>
        <w:t>2018/2019</w:t>
      </w:r>
    </w:p>
    <w:p w:rsidR="00A34845" w:rsidRDefault="00A34845" w:rsidP="00A34845">
      <w:pPr>
        <w:rPr>
          <w:lang w:val="en-GB"/>
        </w:rPr>
      </w:pPr>
    </w:p>
    <w:p w:rsidR="00A34845" w:rsidRDefault="00A34845" w:rsidP="009714B9">
      <w:pPr>
        <w:pStyle w:val="Bullets"/>
        <w:rPr>
          <w:lang w:val="en-GB"/>
        </w:rPr>
      </w:pPr>
      <w:r w:rsidRPr="00AF52B8">
        <w:rPr>
          <w:b/>
        </w:rPr>
        <w:t>259,140</w:t>
      </w:r>
      <w:r>
        <w:rPr>
          <w:lang w:val="en-GB"/>
        </w:rPr>
        <w:t xml:space="preserve"> Webpage views on The Housing Hub website</w:t>
      </w:r>
    </w:p>
    <w:p w:rsidR="00A34845" w:rsidRDefault="00A34845" w:rsidP="009714B9">
      <w:pPr>
        <w:pStyle w:val="Bullets"/>
        <w:rPr>
          <w:lang w:val="en-GB"/>
        </w:rPr>
      </w:pPr>
      <w:r>
        <w:rPr>
          <w:lang w:val="en-GB"/>
        </w:rPr>
        <w:t xml:space="preserve">More </w:t>
      </w:r>
      <w:r w:rsidR="00AF52B8">
        <w:rPr>
          <w:lang w:val="en-GB"/>
        </w:rPr>
        <w:t xml:space="preserve">than </w:t>
      </w:r>
      <w:r w:rsidR="00AF52B8" w:rsidRPr="00AF52B8">
        <w:rPr>
          <w:b/>
          <w:lang w:val="en-GB"/>
        </w:rPr>
        <w:t xml:space="preserve">3,400 </w:t>
      </w:r>
      <w:r>
        <w:rPr>
          <w:lang w:val="en-GB"/>
        </w:rPr>
        <w:t>people visited The Housing Hub website</w:t>
      </w:r>
    </w:p>
    <w:p w:rsidR="00A34845" w:rsidRDefault="00A34845" w:rsidP="009714B9">
      <w:pPr>
        <w:pStyle w:val="Bullets"/>
        <w:rPr>
          <w:lang w:val="en-GB"/>
        </w:rPr>
      </w:pPr>
      <w:r w:rsidRPr="00AF52B8">
        <w:rPr>
          <w:b/>
          <w:lang w:val="en-GB"/>
        </w:rPr>
        <w:t xml:space="preserve">80 </w:t>
      </w:r>
      <w:r>
        <w:rPr>
          <w:lang w:val="en-GB"/>
        </w:rPr>
        <w:t>tenants matched with SDA</w:t>
      </w:r>
    </w:p>
    <w:p w:rsidR="00A34845" w:rsidRDefault="00A34845" w:rsidP="009714B9">
      <w:pPr>
        <w:pStyle w:val="Bullets"/>
        <w:rPr>
          <w:lang w:val="en-GB"/>
        </w:rPr>
      </w:pPr>
      <w:r w:rsidRPr="00AF52B8">
        <w:rPr>
          <w:b/>
          <w:lang w:val="en-GB"/>
        </w:rPr>
        <w:t>350</w:t>
      </w:r>
      <w:r>
        <w:rPr>
          <w:lang w:val="en-GB"/>
        </w:rPr>
        <w:t xml:space="preserve"> people attended events to connect with SDA providers </w:t>
      </w:r>
    </w:p>
    <w:p w:rsidR="00AF52B8" w:rsidRDefault="00AF52B8" w:rsidP="009714B9">
      <w:pPr>
        <w:pStyle w:val="Bullets"/>
        <w:rPr>
          <w:lang w:val="en-GB"/>
        </w:rPr>
      </w:pPr>
      <w:r>
        <w:rPr>
          <w:lang w:val="en-GB"/>
        </w:rPr>
        <w:t xml:space="preserve">Identified </w:t>
      </w:r>
      <w:r w:rsidRPr="00AF52B8">
        <w:rPr>
          <w:b/>
          <w:lang w:val="en-GB"/>
        </w:rPr>
        <w:t>1,500</w:t>
      </w:r>
      <w:r>
        <w:rPr>
          <w:lang w:val="en-GB"/>
        </w:rPr>
        <w:t xml:space="preserve"> new SDA places in development </w:t>
      </w:r>
    </w:p>
    <w:p w:rsidR="00AF52B8" w:rsidRDefault="00AF52B8" w:rsidP="009714B9">
      <w:pPr>
        <w:pStyle w:val="Bullets"/>
        <w:rPr>
          <w:lang w:val="en-GB"/>
        </w:rPr>
      </w:pPr>
      <w:r w:rsidRPr="00AF52B8">
        <w:rPr>
          <w:b/>
          <w:lang w:val="en-GB"/>
        </w:rPr>
        <w:t>150</w:t>
      </w:r>
      <w:r>
        <w:rPr>
          <w:lang w:val="en-GB"/>
        </w:rPr>
        <w:t xml:space="preserve"> people attended our Annual Public Forum </w:t>
      </w:r>
    </w:p>
    <w:p w:rsidR="00AF52B8" w:rsidRDefault="00AF52B8" w:rsidP="009714B9">
      <w:pPr>
        <w:pStyle w:val="Bullets"/>
        <w:rPr>
          <w:lang w:val="en-GB"/>
        </w:rPr>
      </w:pPr>
      <w:r w:rsidRPr="00AF52B8">
        <w:rPr>
          <w:b/>
          <w:lang w:val="en-GB"/>
        </w:rPr>
        <w:t>400</w:t>
      </w:r>
      <w:r>
        <w:rPr>
          <w:lang w:val="en-GB"/>
        </w:rPr>
        <w:t xml:space="preserve"> people attended The National SDA conference</w:t>
      </w:r>
    </w:p>
    <w:p w:rsidR="00A34845" w:rsidRPr="00AF52B8" w:rsidRDefault="00AF52B8" w:rsidP="009714B9">
      <w:pPr>
        <w:pStyle w:val="Bullets"/>
      </w:pPr>
      <w:r w:rsidRPr="00AF52B8">
        <w:rPr>
          <w:b/>
        </w:rPr>
        <w:t>38</w:t>
      </w:r>
      <w:r w:rsidRPr="00AF52B8">
        <w:t xml:space="preserve"> guides &amp; video resources </w:t>
      </w:r>
      <w:r>
        <w:t>developed</w:t>
      </w:r>
    </w:p>
    <w:p w:rsidR="00AF52B8" w:rsidRPr="00AF52B8" w:rsidRDefault="00AF52B8" w:rsidP="009714B9">
      <w:pPr>
        <w:pStyle w:val="Bullets"/>
      </w:pPr>
      <w:r w:rsidRPr="00AF52B8">
        <w:rPr>
          <w:b/>
        </w:rPr>
        <w:t>6</w:t>
      </w:r>
      <w:r w:rsidRPr="00AF52B8">
        <w:t xml:space="preserve"> Young Australians enter aged care every day</w:t>
      </w:r>
    </w:p>
    <w:p w:rsidR="00AF52B8" w:rsidRPr="00AF52B8" w:rsidRDefault="00AF52B8" w:rsidP="009714B9">
      <w:pPr>
        <w:pStyle w:val="Bullets"/>
      </w:pPr>
      <w:r w:rsidRPr="00AF52B8">
        <w:rPr>
          <w:b/>
        </w:rPr>
        <w:t>5,800</w:t>
      </w:r>
      <w:r w:rsidRPr="00AF52B8">
        <w:t xml:space="preserve"> young people (aged under 65) live in aged care </w:t>
      </w:r>
    </w:p>
    <w:p w:rsidR="00AF52B8" w:rsidRPr="00AF52B8" w:rsidRDefault="00AF52B8" w:rsidP="009714B9">
      <w:pPr>
        <w:pStyle w:val="Bullets"/>
        <w:rPr>
          <w:spacing w:val="-1"/>
        </w:rPr>
      </w:pPr>
      <w:r w:rsidRPr="00AF52B8">
        <w:rPr>
          <w:lang w:val="en-US"/>
        </w:rPr>
        <w:t>We supported</w:t>
      </w:r>
      <w:r>
        <w:rPr>
          <w:lang w:val="en-US"/>
        </w:rPr>
        <w:t xml:space="preserve"> </w:t>
      </w:r>
      <w:r w:rsidRPr="00AF52B8">
        <w:rPr>
          <w:b/>
          <w:lang w:val="en-US"/>
        </w:rPr>
        <w:t>100</w:t>
      </w:r>
      <w:r>
        <w:rPr>
          <w:lang w:val="en-US"/>
        </w:rPr>
        <w:t xml:space="preserve"> </w:t>
      </w:r>
      <w:r w:rsidRPr="00AF52B8">
        <w:t xml:space="preserve">people to make submissions </w:t>
      </w:r>
      <w:r w:rsidRPr="00AF52B8">
        <w:rPr>
          <w:spacing w:val="-1"/>
        </w:rPr>
        <w:t xml:space="preserve">to the Royal Commission </w:t>
      </w:r>
    </w:p>
    <w:p w:rsidR="00AF52B8" w:rsidRPr="00AF52B8" w:rsidRDefault="00AF52B8" w:rsidP="009714B9">
      <w:pPr>
        <w:pStyle w:val="Bullets"/>
      </w:pPr>
      <w:r>
        <w:rPr>
          <w:lang w:val="en-US"/>
        </w:rPr>
        <w:t xml:space="preserve">We trained </w:t>
      </w:r>
      <w:r w:rsidRPr="00AF52B8">
        <w:rPr>
          <w:b/>
          <w:lang w:val="en-US"/>
        </w:rPr>
        <w:t>1,411</w:t>
      </w:r>
      <w:r>
        <w:rPr>
          <w:lang w:val="en-US"/>
        </w:rPr>
        <w:t xml:space="preserve"> </w:t>
      </w:r>
      <w:r w:rsidRPr="00AF52B8">
        <w:t>hospital discharge staff</w:t>
      </w:r>
    </w:p>
    <w:p w:rsidR="00AF52B8" w:rsidRDefault="00AF52B8" w:rsidP="009714B9">
      <w:pPr>
        <w:pStyle w:val="Bullets"/>
        <w:numPr>
          <w:ilvl w:val="0"/>
          <w:numId w:val="0"/>
        </w:numPr>
        <w:ind w:left="720"/>
        <w:rPr>
          <w:lang w:val="en-US"/>
        </w:rPr>
      </w:pPr>
    </w:p>
    <w:p w:rsidR="00AF52B8" w:rsidRDefault="00AF52B8" w:rsidP="009714B9">
      <w:pPr>
        <w:pStyle w:val="Bullets"/>
        <w:numPr>
          <w:ilvl w:val="0"/>
          <w:numId w:val="0"/>
        </w:numPr>
        <w:ind w:left="720"/>
        <w:rPr>
          <w:lang w:val="en-US"/>
        </w:rPr>
      </w:pPr>
    </w:p>
    <w:p w:rsidR="00AF52B8" w:rsidRDefault="00AF52B8" w:rsidP="009714B9">
      <w:pPr>
        <w:pStyle w:val="Bullets"/>
        <w:numPr>
          <w:ilvl w:val="0"/>
          <w:numId w:val="0"/>
        </w:numPr>
        <w:rPr>
          <w:lang w:val="en-US"/>
        </w:rPr>
      </w:pPr>
    </w:p>
    <w:p w:rsidR="00AF52B8" w:rsidRDefault="00AF52B8" w:rsidP="00AF52B8">
      <w:pPr>
        <w:pStyle w:val="body"/>
        <w:spacing w:after="0"/>
        <w:rPr>
          <w:rFonts w:ascii="Guardian Sans Medium" w:hAnsi="Guardian Sans Medium" w:cs="Guardian Sans Medium"/>
          <w:spacing w:val="3"/>
          <w:sz w:val="15"/>
          <w:szCs w:val="15"/>
        </w:rPr>
      </w:pPr>
      <w:r>
        <w:rPr>
          <w:rFonts w:ascii="Guardian Sans Medium" w:hAnsi="Guardian Sans Medium" w:cs="Guardian Sans Medium"/>
          <w:spacing w:val="3"/>
          <w:sz w:val="15"/>
          <w:szCs w:val="15"/>
        </w:rPr>
        <w:t xml:space="preserve">Annual report for year ending </w:t>
      </w:r>
      <w:r>
        <w:rPr>
          <w:rFonts w:ascii="Guardian Sans Medium" w:hAnsi="Guardian Sans Medium" w:cs="Guardian Sans Medium"/>
          <w:spacing w:val="3"/>
          <w:sz w:val="15"/>
          <w:szCs w:val="15"/>
        </w:rPr>
        <w:br/>
        <w:t>30 June 2019</w:t>
      </w:r>
    </w:p>
    <w:p w:rsidR="00AF52B8" w:rsidRDefault="00AF52B8" w:rsidP="00AF52B8">
      <w:pPr>
        <w:pStyle w:val="body"/>
        <w:spacing w:after="0"/>
        <w:rPr>
          <w:rFonts w:ascii="Guardian Sans Medium" w:hAnsi="Guardian Sans Medium" w:cs="Guardian Sans Medium"/>
          <w:sz w:val="15"/>
          <w:szCs w:val="15"/>
        </w:rPr>
      </w:pPr>
      <w:r>
        <w:rPr>
          <w:rFonts w:ascii="Guardian Sans Medium" w:hAnsi="Guardian Sans Medium" w:cs="Guardian Sans Medium"/>
          <w:sz w:val="15"/>
          <w:szCs w:val="15"/>
        </w:rPr>
        <w:t xml:space="preserve">Summer Foundation Ltd. </w:t>
      </w:r>
      <w:r>
        <w:rPr>
          <w:rFonts w:ascii="Guardian Sans Medium" w:hAnsi="Guardian Sans Medium" w:cs="Guardian Sans Medium"/>
          <w:sz w:val="15"/>
          <w:szCs w:val="15"/>
        </w:rPr>
        <w:br/>
        <w:t>ABN 90 117 719 516</w:t>
      </w:r>
      <w:r>
        <w:rPr>
          <w:rFonts w:ascii="Guardian Sans Medium" w:hAnsi="Guardian Sans Medium" w:cs="Guardian Sans Medium"/>
          <w:sz w:val="15"/>
          <w:szCs w:val="15"/>
        </w:rPr>
        <w:tab/>
      </w:r>
      <w:r>
        <w:rPr>
          <w:rFonts w:ascii="Guardian Sans Medium" w:hAnsi="Guardian Sans Medium" w:cs="Guardian Sans Medium"/>
          <w:sz w:val="15"/>
          <w:szCs w:val="15"/>
        </w:rPr>
        <w:tab/>
      </w:r>
      <w:r>
        <w:rPr>
          <w:rFonts w:ascii="Guardian Sans Medium" w:hAnsi="Guardian Sans Medium" w:cs="Guardian Sans Medium"/>
          <w:sz w:val="15"/>
          <w:szCs w:val="15"/>
        </w:rPr>
        <w:br/>
        <w:t>PO Box 208, Blackburn, VIC 3130</w:t>
      </w:r>
      <w:r>
        <w:rPr>
          <w:rFonts w:ascii="Guardian Sans Medium" w:hAnsi="Guardian Sans Medium" w:cs="Guardian Sans Medium"/>
          <w:sz w:val="15"/>
          <w:szCs w:val="15"/>
        </w:rPr>
        <w:tab/>
      </w:r>
    </w:p>
    <w:p w:rsidR="00AF52B8" w:rsidRDefault="00AF52B8" w:rsidP="00AF52B8">
      <w:pPr>
        <w:pStyle w:val="body"/>
        <w:tabs>
          <w:tab w:val="left" w:pos="220"/>
          <w:tab w:val="left" w:pos="1377"/>
          <w:tab w:val="left" w:pos="1542"/>
          <w:tab w:val="left" w:pos="2808"/>
          <w:tab w:val="left" w:pos="3065"/>
        </w:tabs>
        <w:spacing w:after="0"/>
        <w:rPr>
          <w:rFonts w:ascii="Guardian Sans Medium" w:hAnsi="Guardian Sans Medium" w:cs="Guardian Sans Medium"/>
          <w:sz w:val="15"/>
          <w:szCs w:val="15"/>
        </w:rPr>
      </w:pPr>
      <w:r>
        <w:rPr>
          <w:rFonts w:ascii="Guardian Sans Medium" w:hAnsi="Guardian Sans Medium" w:cs="Guardian Sans Medium"/>
          <w:sz w:val="15"/>
          <w:szCs w:val="15"/>
        </w:rPr>
        <w:t>P: 1300 626 560</w:t>
      </w:r>
      <w:r>
        <w:rPr>
          <w:rFonts w:ascii="Guardian Sans Medium" w:hAnsi="Guardian Sans Medium" w:cs="Guardian Sans Medium"/>
          <w:sz w:val="15"/>
          <w:szCs w:val="15"/>
        </w:rPr>
        <w:tab/>
      </w:r>
      <w:r>
        <w:rPr>
          <w:rFonts w:ascii="Guardian Sans Medium" w:hAnsi="Guardian Sans Medium" w:cs="Guardian Sans Medium"/>
          <w:sz w:val="15"/>
          <w:szCs w:val="15"/>
        </w:rPr>
        <w:br/>
        <w:t>E: info@summerfoundation.org.au</w:t>
      </w:r>
    </w:p>
    <w:p w:rsidR="00AF52B8" w:rsidRDefault="00AF52B8" w:rsidP="00AF52B8">
      <w:pPr>
        <w:pStyle w:val="body"/>
        <w:tabs>
          <w:tab w:val="left" w:pos="240"/>
          <w:tab w:val="left" w:pos="1500"/>
          <w:tab w:val="left" w:pos="1680"/>
          <w:tab w:val="left" w:pos="3060"/>
          <w:tab w:val="left" w:pos="3340"/>
        </w:tabs>
        <w:spacing w:after="0"/>
        <w:rPr>
          <w:rFonts w:ascii="Guardian Sans Medium" w:hAnsi="Guardian Sans Medium" w:cs="Guardian Sans Medium"/>
          <w:sz w:val="15"/>
          <w:szCs w:val="15"/>
        </w:rPr>
      </w:pPr>
      <w:r>
        <w:rPr>
          <w:rFonts w:ascii="Guardian Sans Medium" w:hAnsi="Guardian Sans Medium" w:cs="Guardian Sans Medium"/>
          <w:sz w:val="15"/>
          <w:szCs w:val="15"/>
        </w:rPr>
        <w:t>W:</w:t>
      </w:r>
      <w:r>
        <w:rPr>
          <w:rFonts w:ascii="Guardian Sans Medium" w:hAnsi="Guardian Sans Medium" w:cs="Guardian Sans Medium"/>
          <w:sz w:val="15"/>
          <w:szCs w:val="15"/>
        </w:rPr>
        <w:tab/>
        <w:t>summerfoundation.org.au</w:t>
      </w:r>
    </w:p>
    <w:p w:rsidR="00AF52B8" w:rsidRDefault="00AF52B8" w:rsidP="00AF52B8">
      <w:pPr>
        <w:pStyle w:val="Heading1"/>
        <w:rPr>
          <w:color w:val="F49A3F"/>
          <w:w w:val="98"/>
        </w:rPr>
      </w:pPr>
      <w:r>
        <w:rPr>
          <w:w w:val="98"/>
        </w:rPr>
        <w:lastRenderedPageBreak/>
        <w:t xml:space="preserve">The Issue: YOUNG PEOPLE </w:t>
      </w:r>
      <w:r>
        <w:rPr>
          <w:w w:val="98"/>
        </w:rPr>
        <w:br/>
        <w:t>IN AGED CARE</w:t>
      </w:r>
    </w:p>
    <w:p w:rsidR="00AF52B8" w:rsidRDefault="00AF52B8" w:rsidP="00AF52B8">
      <w:r>
        <w:t>Today in Australia more than 5,800 young people with disability live in aged care because there is nowhere else for them.</w:t>
      </w:r>
    </w:p>
    <w:p w:rsidR="00AF52B8" w:rsidRDefault="00AF52B8" w:rsidP="00AF52B8">
      <w:r>
        <w:t>Many of these people are aged in their 30s and 40s, living with people in their 80s. They rarely see family or friends and it is common for young people in aged care to lose skills and independence.</w:t>
      </w:r>
    </w:p>
    <w:p w:rsidR="00AF52B8" w:rsidRDefault="00AF52B8" w:rsidP="00AF52B8">
      <w:r>
        <w:t>Around half the younger people in aged care had a partner when they started living in aged care. About a quarter of younger people in aged care have school-aged children. A nursing home is not the right place to try to raise a family.</w:t>
      </w:r>
    </w:p>
    <w:p w:rsidR="00AF52B8" w:rsidRDefault="00AF52B8" w:rsidP="00AF52B8">
      <w:r>
        <w:t>The National Disability Insurance Scheme (NDIS) can support young people with disability to avoid aged care or help them leave it for more suitable housing. When the NDIS, health and aged care systems work well together more young people with disability will be able to choose where they live and who they live with.</w:t>
      </w:r>
    </w:p>
    <w:p w:rsidR="00AF52B8" w:rsidRDefault="00AF52B8" w:rsidP="00AF52B8"/>
    <w:p w:rsidR="00AF52B8" w:rsidRDefault="00AF52B8" w:rsidP="00AF52B8">
      <w:pPr>
        <w:pStyle w:val="Heading3"/>
      </w:pPr>
      <w:r>
        <w:t>We use 5 tools to influence systems change:</w:t>
      </w:r>
    </w:p>
    <w:p w:rsidR="00AF52B8" w:rsidRDefault="00AF52B8" w:rsidP="00AF52B8">
      <w:pPr>
        <w:rPr>
          <w:lang w:val="en-US"/>
        </w:rPr>
      </w:pPr>
      <w:r w:rsidRPr="00AF52B8">
        <w:rPr>
          <w:rStyle w:val="Heading4Char"/>
        </w:rPr>
        <w:t>Research:</w:t>
      </w:r>
      <w:r>
        <w:rPr>
          <w:rFonts w:ascii="Gotham-Bold" w:hAnsi="Gotham-Bold" w:cs="Gotham-Bold"/>
          <w:b/>
          <w:bCs/>
          <w:caps/>
          <w:color w:val="F49A32"/>
          <w:spacing w:val="-5"/>
          <w:w w:val="94"/>
          <w:lang w:val="en-US"/>
        </w:rPr>
        <w:t xml:space="preserve"> </w:t>
      </w:r>
      <w:r w:rsidRPr="00AF52B8">
        <w:rPr>
          <w:lang w:val="en-US"/>
        </w:rPr>
        <w:t>Data collection and analysis to provide an evidence base for problem solving</w:t>
      </w:r>
    </w:p>
    <w:p w:rsidR="00AF52B8" w:rsidRDefault="00AF52B8" w:rsidP="00AF52B8">
      <w:r w:rsidRPr="00AF52B8">
        <w:rPr>
          <w:rStyle w:val="Heading4Char"/>
        </w:rPr>
        <w:t>Storytelling:</w:t>
      </w:r>
      <w:r>
        <w:rPr>
          <w:rFonts w:ascii="Gotham-Bold" w:hAnsi="Gotham-Bold" w:cs="Gotham-Bold"/>
          <w:b/>
          <w:bCs/>
          <w:caps/>
          <w:color w:val="F49A32"/>
          <w:spacing w:val="-5"/>
          <w:w w:val="94"/>
          <w:lang w:val="en-US"/>
        </w:rPr>
        <w:t xml:space="preserve"> </w:t>
      </w:r>
      <w:r w:rsidRPr="00AF52B8">
        <w:rPr>
          <w:lang w:val="en-US"/>
        </w:rPr>
        <w:t>Support people with lived experience to share their journeys and perspectives</w:t>
      </w:r>
    </w:p>
    <w:p w:rsidR="00AF52B8" w:rsidRDefault="00AF52B8" w:rsidP="00AF52B8">
      <w:pPr>
        <w:rPr>
          <w:lang w:val="en-US"/>
        </w:rPr>
      </w:pPr>
      <w:r w:rsidRPr="00AF52B8">
        <w:rPr>
          <w:rStyle w:val="Heading4Char"/>
        </w:rPr>
        <w:t>Policy Influence:</w:t>
      </w:r>
      <w:r>
        <w:rPr>
          <w:rFonts w:ascii="Gotham-Bold" w:hAnsi="Gotham-Bold" w:cs="Gotham-Bold"/>
          <w:b/>
          <w:bCs/>
          <w:caps/>
          <w:color w:val="F49A32"/>
          <w:spacing w:val="-5"/>
          <w:w w:val="94"/>
          <w:lang w:val="en-US"/>
        </w:rPr>
        <w:t xml:space="preserve">  </w:t>
      </w:r>
      <w:r w:rsidR="003632C0">
        <w:rPr>
          <w:lang w:val="en-US"/>
        </w:rPr>
        <w:t>Shape thinking and change decisions of governments</w:t>
      </w:r>
    </w:p>
    <w:p w:rsidR="00AF52B8" w:rsidRDefault="00AF52B8" w:rsidP="00AF52B8">
      <w:pPr>
        <w:rPr>
          <w:lang w:val="en-US"/>
        </w:rPr>
      </w:pPr>
      <w:r w:rsidRPr="00AF52B8">
        <w:rPr>
          <w:rStyle w:val="Heading4Char"/>
        </w:rPr>
        <w:t>Capacity Building:</w:t>
      </w:r>
      <w:r>
        <w:rPr>
          <w:rFonts w:ascii="Gotham-Bold" w:hAnsi="Gotham-Bold" w:cs="Gotham-Bold"/>
          <w:b/>
          <w:bCs/>
          <w:caps/>
          <w:color w:val="F49A32"/>
          <w:spacing w:val="-6"/>
          <w:w w:val="91"/>
          <w:lang w:val="en-US"/>
        </w:rPr>
        <w:t xml:space="preserve"> </w:t>
      </w:r>
      <w:r w:rsidRPr="00AF52B8">
        <w:rPr>
          <w:lang w:val="en-US"/>
        </w:rPr>
        <w:t>Share information and best practice with stakeholders</w:t>
      </w:r>
    </w:p>
    <w:p w:rsidR="00AF52B8" w:rsidRDefault="00AF52B8" w:rsidP="00AF52B8">
      <w:pPr>
        <w:rPr>
          <w:lang w:val="en-US"/>
        </w:rPr>
      </w:pPr>
      <w:r w:rsidRPr="00AF52B8">
        <w:rPr>
          <w:rStyle w:val="Heading4Char"/>
        </w:rPr>
        <w:t>Prototype:</w:t>
      </w:r>
      <w:r>
        <w:rPr>
          <w:rFonts w:ascii="Gotham-Bold" w:hAnsi="Gotham-Bold" w:cs="Gotham-Bold"/>
          <w:b/>
          <w:bCs/>
          <w:caps/>
          <w:color w:val="F49A32"/>
          <w:spacing w:val="-5"/>
          <w:w w:val="94"/>
          <w:lang w:val="en-US"/>
        </w:rPr>
        <w:t xml:space="preserve"> </w:t>
      </w:r>
      <w:r w:rsidRPr="00AF52B8">
        <w:rPr>
          <w:lang w:val="en-US"/>
        </w:rPr>
        <w:t>Designing, testing and evaluating new solutions</w:t>
      </w:r>
    </w:p>
    <w:p w:rsidR="00AF52B8" w:rsidRDefault="00AF52B8" w:rsidP="00AF52B8"/>
    <w:p w:rsidR="00AF52B8" w:rsidRDefault="00AF52B8" w:rsidP="00AF52B8">
      <w:pPr>
        <w:pStyle w:val="Heading3"/>
      </w:pPr>
      <w:r>
        <w:t>Our Mission</w:t>
      </w:r>
    </w:p>
    <w:p w:rsidR="00AF52B8" w:rsidRDefault="00AF52B8" w:rsidP="00AF52B8">
      <w:r>
        <w:t>To create, lead and demonstrate long-term sustainable systems change that stops young people from being forced to live in residential aged care because there is nowhere else for them.</w:t>
      </w:r>
    </w:p>
    <w:p w:rsidR="00AF52B8" w:rsidRDefault="00AF52B8">
      <w:pPr>
        <w:spacing w:after="0" w:line="240" w:lineRule="auto"/>
      </w:pPr>
      <w:r>
        <w:br w:type="page"/>
      </w:r>
    </w:p>
    <w:p w:rsidR="00AF52B8" w:rsidRDefault="00AF52B8" w:rsidP="00AF52B8">
      <w:pPr>
        <w:pStyle w:val="Heading1"/>
        <w:rPr>
          <w:w w:val="98"/>
        </w:rPr>
      </w:pPr>
      <w:r>
        <w:rPr>
          <w:w w:val="98"/>
        </w:rPr>
        <w:lastRenderedPageBreak/>
        <w:t>Chairman’s message</w:t>
      </w:r>
    </w:p>
    <w:p w:rsidR="00AF52B8" w:rsidRDefault="00AF52B8" w:rsidP="00AF52B8">
      <w:r>
        <w:t xml:space="preserve">The Summer Foundation began in 2006. We are working to stop young people having to live in aged care. Like everyone else, young people with disability should be able to choose where they live and who they live with. </w:t>
      </w:r>
    </w:p>
    <w:p w:rsidR="00AF52B8" w:rsidRDefault="00AF52B8" w:rsidP="00AF52B8">
      <w:r>
        <w:t xml:space="preserve">We think that the issue of younger people having to live in aged care can be solved quickly if everyone works together. To solve the problem, the Summer Foundation is looking at 4 areas: </w:t>
      </w:r>
    </w:p>
    <w:p w:rsidR="00AF52B8" w:rsidRDefault="00AF52B8" w:rsidP="009714B9">
      <w:pPr>
        <w:pStyle w:val="Bullets"/>
      </w:pPr>
      <w:r>
        <w:t>Housing</w:t>
      </w:r>
    </w:p>
    <w:p w:rsidR="00AF52B8" w:rsidRDefault="00AF52B8" w:rsidP="009714B9">
      <w:pPr>
        <w:pStyle w:val="Bullets"/>
      </w:pPr>
      <w:r>
        <w:t>The NDIS</w:t>
      </w:r>
    </w:p>
    <w:p w:rsidR="00AF52B8" w:rsidRDefault="00AF52B8" w:rsidP="009714B9">
      <w:pPr>
        <w:pStyle w:val="Bullets"/>
      </w:pPr>
      <w:r>
        <w:t>People’s pathways home from hospital and aged care</w:t>
      </w:r>
    </w:p>
    <w:p w:rsidR="00AF52B8" w:rsidRDefault="00AF52B8" w:rsidP="009714B9">
      <w:pPr>
        <w:pStyle w:val="Bullets"/>
      </w:pPr>
      <w:r>
        <w:t xml:space="preserve">Community and primary health for people with complex disability </w:t>
      </w:r>
    </w:p>
    <w:p w:rsidR="00AF52B8" w:rsidRDefault="00AF52B8" w:rsidP="00AF52B8">
      <w:r>
        <w:t xml:space="preserve">In this report, you can read about the work the Summer Foundation has been doing in these areas. You can also read about how our work is changing the lives of people like </w:t>
      </w:r>
      <w:proofErr w:type="spellStart"/>
      <w:r>
        <w:t>Shanais</w:t>
      </w:r>
      <w:proofErr w:type="spellEnd"/>
      <w:r>
        <w:t>, Lisa, Jan and Jessica.</w:t>
      </w:r>
    </w:p>
    <w:p w:rsidR="00AF52B8" w:rsidRDefault="00AF52B8" w:rsidP="00AF52B8">
      <w:r>
        <w:t>Our highlights for this year are on the following pages. They include:</w:t>
      </w:r>
    </w:p>
    <w:p w:rsidR="00AF52B8" w:rsidRDefault="00AF52B8" w:rsidP="009714B9">
      <w:pPr>
        <w:pStyle w:val="Bullets"/>
      </w:pPr>
      <w:r>
        <w:t>The Aged Care Royal Commission</w:t>
      </w:r>
    </w:p>
    <w:p w:rsidR="00AF52B8" w:rsidRDefault="00AF52B8" w:rsidP="009714B9">
      <w:pPr>
        <w:pStyle w:val="Bullets"/>
      </w:pPr>
      <w:r>
        <w:t>Leaving Hospital Well (Hospital Discharge)</w:t>
      </w:r>
    </w:p>
    <w:p w:rsidR="00AF52B8" w:rsidRDefault="00AF52B8" w:rsidP="009714B9">
      <w:pPr>
        <w:pStyle w:val="Bullets"/>
      </w:pPr>
      <w:r>
        <w:t>Housing Matching</w:t>
      </w:r>
    </w:p>
    <w:p w:rsidR="00AF52B8" w:rsidRDefault="00AF52B8" w:rsidP="009714B9">
      <w:pPr>
        <w:pStyle w:val="Bullets"/>
      </w:pPr>
      <w:r>
        <w:t>Systems Advocacy</w:t>
      </w:r>
    </w:p>
    <w:p w:rsidR="00AF52B8" w:rsidRDefault="00AF52B8" w:rsidP="009714B9">
      <w:pPr>
        <w:pStyle w:val="Bullets"/>
      </w:pPr>
      <w:r>
        <w:t>Research</w:t>
      </w:r>
    </w:p>
    <w:p w:rsidR="00AF52B8" w:rsidRDefault="00AF52B8" w:rsidP="009714B9">
      <w:pPr>
        <w:pStyle w:val="Bullets"/>
      </w:pPr>
      <w:r>
        <w:t>Get Building SDA</w:t>
      </w:r>
    </w:p>
    <w:p w:rsidR="00AF52B8" w:rsidRDefault="00AF52B8" w:rsidP="00AF52B8">
      <w:r>
        <w:t xml:space="preserve">This year we have two new Board members, Professor Andrew Way and Adam Horsburgh. Andrew and Adam are experienced hospital professionals. They will help us connect with hospitals and understand why so many young people are going from hospital into aged care. </w:t>
      </w:r>
    </w:p>
    <w:p w:rsidR="00AF52B8" w:rsidRDefault="00AF52B8" w:rsidP="00AF52B8">
      <w:r>
        <w:t>Thanks to the Summer Foundation staff, Board and all the people who have worked with us this year to make real progress towards achieving our mission.</w:t>
      </w:r>
    </w:p>
    <w:p w:rsidR="00AF52B8" w:rsidRDefault="00AF52B8" w:rsidP="00AF52B8"/>
    <w:p w:rsidR="00AF52B8" w:rsidRDefault="00AF52B8" w:rsidP="00AF52B8"/>
    <w:p w:rsidR="00AF52B8" w:rsidRPr="00AF52B8" w:rsidRDefault="00AF52B8" w:rsidP="00AF52B8">
      <w:r>
        <w:rPr>
          <w:rFonts w:ascii="Guardian Sans Medium" w:hAnsi="Guardian Sans Medium" w:cs="Guardian Sans Medium"/>
        </w:rPr>
        <w:t>Paul Conroy</w:t>
      </w:r>
      <w:r>
        <w:rPr>
          <w:rFonts w:ascii="Guardian Sans Medium" w:hAnsi="Guardian Sans Medium" w:cs="Guardian Sans Medium"/>
        </w:rPr>
        <w:br/>
      </w:r>
      <w:r>
        <w:t>Chairman</w:t>
      </w:r>
    </w:p>
    <w:p w:rsidR="00AF52B8" w:rsidRDefault="00AF52B8">
      <w:pPr>
        <w:spacing w:after="0" w:line="240" w:lineRule="auto"/>
      </w:pPr>
      <w:r>
        <w:br w:type="page"/>
      </w:r>
    </w:p>
    <w:p w:rsidR="00AF52B8" w:rsidRPr="00AF52B8" w:rsidRDefault="00AF52B8" w:rsidP="00AF52B8">
      <w:pPr>
        <w:pStyle w:val="TitleBox"/>
      </w:pPr>
      <w:r>
        <w:lastRenderedPageBreak/>
        <w:t>About us</w:t>
      </w:r>
    </w:p>
    <w:p w:rsidR="00AF52B8" w:rsidRDefault="00AF52B8" w:rsidP="00AF52B8">
      <w:pPr>
        <w:pStyle w:val="StatementHead"/>
        <w:spacing w:before="183" w:after="122"/>
        <w:rPr>
          <w:color w:val="F49A3F"/>
          <w:spacing w:val="9"/>
          <w:w w:val="98"/>
          <w:position w:val="12"/>
          <w:sz w:val="94"/>
          <w:szCs w:val="94"/>
        </w:rPr>
      </w:pPr>
      <w:r>
        <w:rPr>
          <w:color w:val="F49A3F"/>
          <w:spacing w:val="9"/>
          <w:w w:val="98"/>
          <w:position w:val="12"/>
          <w:sz w:val="94"/>
          <w:szCs w:val="94"/>
        </w:rPr>
        <w:t>OUR GOALS</w:t>
      </w:r>
    </w:p>
    <w:p w:rsidR="00AF52B8" w:rsidRPr="00211438" w:rsidRDefault="00AF52B8" w:rsidP="00211438">
      <w:pPr>
        <w:pStyle w:val="Heading4"/>
      </w:pPr>
      <w:r w:rsidRPr="00211438">
        <w:t>Our overarching goal is that people with disability and complex support needs live where and with whom they choose, with access to high quality housing and support options that enhance health, wellbeing and participation.</w:t>
      </w:r>
    </w:p>
    <w:p w:rsidR="00AF52B8" w:rsidRDefault="00AF52B8" w:rsidP="00AF52B8"/>
    <w:p w:rsidR="00AF52B8" w:rsidRPr="00211438" w:rsidRDefault="00AF52B8" w:rsidP="00AF52B8">
      <w:r>
        <w:t xml:space="preserve">Four key strategic priorities direct the focus and scope of our work. These priorities are where we can achieve the greatest impact. </w:t>
      </w:r>
    </w:p>
    <w:p w:rsidR="00211438" w:rsidRDefault="00211438" w:rsidP="00211438">
      <w:pPr>
        <w:pStyle w:val="Heading3"/>
        <w:rPr>
          <w:lang w:val="en-US"/>
        </w:rPr>
      </w:pPr>
      <w:r>
        <w:rPr>
          <w:lang w:val="en-US"/>
        </w:rPr>
        <w:t>Housing</w:t>
      </w:r>
    </w:p>
    <w:p w:rsidR="00211438" w:rsidRDefault="00211438" w:rsidP="00211438">
      <w:pPr>
        <w:rPr>
          <w:lang w:val="en-US"/>
        </w:rPr>
      </w:pPr>
      <w:r w:rsidRPr="00211438">
        <w:rPr>
          <w:lang w:val="en-US"/>
        </w:rPr>
        <w:t>Significantly increase the volume and range of high quality, accessible and affordable housing</w:t>
      </w:r>
    </w:p>
    <w:p w:rsidR="00211438" w:rsidRDefault="00211438" w:rsidP="00211438">
      <w:pPr>
        <w:pStyle w:val="Heading3"/>
        <w:rPr>
          <w:lang w:val="en-US"/>
        </w:rPr>
      </w:pPr>
      <w:r>
        <w:rPr>
          <w:lang w:val="en-US"/>
        </w:rPr>
        <w:t xml:space="preserve">NDIS </w:t>
      </w:r>
    </w:p>
    <w:p w:rsidR="00211438" w:rsidRPr="00211438" w:rsidRDefault="00211438" w:rsidP="00211438">
      <w:pPr>
        <w:rPr>
          <w:lang w:val="en-US"/>
        </w:rPr>
      </w:pPr>
      <w:r w:rsidRPr="00211438">
        <w:rPr>
          <w:lang w:val="en-US"/>
        </w:rPr>
        <w:t>Those in RAC or at risk of RAC entry have NDIS plans which support and reflect their goals</w:t>
      </w:r>
    </w:p>
    <w:p w:rsidR="00211438" w:rsidRDefault="00211438" w:rsidP="00211438">
      <w:pPr>
        <w:pStyle w:val="Heading3"/>
        <w:rPr>
          <w:lang w:val="en-US"/>
        </w:rPr>
      </w:pPr>
      <w:r>
        <w:rPr>
          <w:lang w:val="en-US"/>
        </w:rPr>
        <w:t xml:space="preserve">Pathways home </w:t>
      </w:r>
    </w:p>
    <w:p w:rsidR="00211438" w:rsidRDefault="00211438" w:rsidP="00211438">
      <w:pPr>
        <w:rPr>
          <w:lang w:val="en-US"/>
        </w:rPr>
      </w:pPr>
      <w:r w:rsidRPr="00211438">
        <w:rPr>
          <w:lang w:val="en-US"/>
        </w:rPr>
        <w:t xml:space="preserve">Health, disability and other systems communicating and collaborating to support discharge </w:t>
      </w:r>
      <w:proofErr w:type="gramStart"/>
      <w:r w:rsidRPr="00211438">
        <w:rPr>
          <w:lang w:val="en-US"/>
        </w:rPr>
        <w:t xml:space="preserve">to </w:t>
      </w:r>
      <w:r>
        <w:rPr>
          <w:lang w:val="en-US"/>
        </w:rPr>
        <w:t xml:space="preserve"> </w:t>
      </w:r>
      <w:r w:rsidRPr="00211438">
        <w:rPr>
          <w:lang w:val="en-US"/>
        </w:rPr>
        <w:t>community</w:t>
      </w:r>
      <w:proofErr w:type="gramEnd"/>
      <w:r w:rsidRPr="00211438">
        <w:rPr>
          <w:lang w:val="en-US"/>
        </w:rPr>
        <w:t xml:space="preserve"> living</w:t>
      </w:r>
    </w:p>
    <w:p w:rsidR="00211438" w:rsidRPr="00211438" w:rsidRDefault="00211438" w:rsidP="00211438">
      <w:pPr>
        <w:pStyle w:val="Heading3"/>
        <w:rPr>
          <w:lang w:val="en-US"/>
        </w:rPr>
      </w:pPr>
      <w:r w:rsidRPr="00211438">
        <w:rPr>
          <w:spacing w:val="-2"/>
          <w:lang w:val="en-US"/>
        </w:rPr>
        <w:t xml:space="preserve">Primary &amp; </w:t>
      </w:r>
      <w:r w:rsidRPr="00211438">
        <w:rPr>
          <w:lang w:val="en-US"/>
        </w:rPr>
        <w:t>Community Health</w:t>
      </w:r>
    </w:p>
    <w:p w:rsidR="00211438" w:rsidRDefault="00211438" w:rsidP="00211438">
      <w:r w:rsidRPr="00211438">
        <w:t>Define the challenges and explore solutions to barriers that limit access to primary and community</w:t>
      </w:r>
      <w:r>
        <w:t xml:space="preserve"> </w:t>
      </w:r>
      <w:r w:rsidRPr="00211438">
        <w:t>health services</w:t>
      </w:r>
    </w:p>
    <w:p w:rsidR="00211438" w:rsidRDefault="00211438" w:rsidP="00211438"/>
    <w:p w:rsidR="00211438" w:rsidRDefault="00211438" w:rsidP="00211438">
      <w:r>
        <w:t>Read about what we’ve achieved and what’s to come in each of these areas on pages 3 – 7.</w:t>
      </w:r>
    </w:p>
    <w:p w:rsidR="00211438" w:rsidRDefault="00211438">
      <w:pPr>
        <w:spacing w:after="0" w:line="240" w:lineRule="auto"/>
      </w:pPr>
      <w:r>
        <w:br w:type="page"/>
      </w:r>
    </w:p>
    <w:p w:rsidR="00211438" w:rsidRDefault="00211438" w:rsidP="00211438">
      <w:pPr>
        <w:pStyle w:val="Heading1"/>
        <w:rPr>
          <w:w w:val="98"/>
        </w:rPr>
      </w:pPr>
      <w:r>
        <w:rPr>
          <w:w w:val="98"/>
        </w:rPr>
        <w:lastRenderedPageBreak/>
        <w:t>HOUSING</w:t>
      </w:r>
    </w:p>
    <w:p w:rsidR="00211438" w:rsidRDefault="00211438" w:rsidP="00211438">
      <w:pPr>
        <w:pStyle w:val="Heading4"/>
      </w:pPr>
      <w:r>
        <w:t>By June 2021 we expect the volume and range of accessible and affordable housing to have significantly increased.</w:t>
      </w:r>
    </w:p>
    <w:p w:rsidR="00211438" w:rsidRDefault="00211438" w:rsidP="00211438"/>
    <w:p w:rsidR="00211438" w:rsidRDefault="00211438" w:rsidP="00211438">
      <w:pPr>
        <w:pStyle w:val="Heading3"/>
      </w:pPr>
      <w:r w:rsidRPr="00211438">
        <w:t>WHAT WE ACHIEVED IN 2018 – 2019</w:t>
      </w:r>
    </w:p>
    <w:p w:rsidR="00211438" w:rsidRPr="00211438" w:rsidRDefault="00211438" w:rsidP="00211438">
      <w:pPr>
        <w:rPr>
          <w:b/>
        </w:rPr>
      </w:pPr>
      <w:r w:rsidRPr="00211438">
        <w:rPr>
          <w:b/>
        </w:rPr>
        <w:t>Navigating the housing market:</w:t>
      </w:r>
    </w:p>
    <w:p w:rsidR="00211438" w:rsidRPr="00211438" w:rsidRDefault="00211438" w:rsidP="009714B9">
      <w:pPr>
        <w:pStyle w:val="Bullets"/>
        <w:rPr>
          <w:lang w:val="en-US"/>
        </w:rPr>
      </w:pPr>
      <w:r w:rsidRPr="00211438">
        <w:rPr>
          <w:lang w:val="en-US"/>
        </w:rPr>
        <w:t xml:space="preserve">Matched more than 80 tenants with SDA through our Tenancy Matching services </w:t>
      </w:r>
    </w:p>
    <w:p w:rsidR="00211438" w:rsidRPr="00211438" w:rsidRDefault="00211438" w:rsidP="009714B9">
      <w:pPr>
        <w:pStyle w:val="Bullets"/>
        <w:rPr>
          <w:lang w:val="en-US"/>
        </w:rPr>
      </w:pPr>
      <w:r w:rsidRPr="00211438">
        <w:rPr>
          <w:lang w:val="en-US"/>
        </w:rPr>
        <w:t xml:space="preserve">Upgraded </w:t>
      </w:r>
      <w:proofErr w:type="gramStart"/>
      <w:r w:rsidRPr="00211438">
        <w:rPr>
          <w:lang w:val="en-US"/>
        </w:rPr>
        <w:t>The</w:t>
      </w:r>
      <w:proofErr w:type="gramEnd"/>
      <w:r w:rsidRPr="00211438">
        <w:rPr>
          <w:lang w:val="en-US"/>
        </w:rPr>
        <w:t xml:space="preserve"> Housing Hub </w:t>
      </w:r>
    </w:p>
    <w:p w:rsidR="00211438" w:rsidRDefault="00211438" w:rsidP="009714B9">
      <w:pPr>
        <w:pStyle w:val="BUlletslast"/>
      </w:pPr>
      <w:r w:rsidRPr="00211438">
        <w:t>39,384 people visited The Housing Hub website, 259,140 pages viewed</w:t>
      </w:r>
    </w:p>
    <w:p w:rsidR="00211438" w:rsidRDefault="00211438" w:rsidP="00211438">
      <w:pPr>
        <w:rPr>
          <w:b/>
        </w:rPr>
      </w:pPr>
      <w:r w:rsidRPr="00211438">
        <w:rPr>
          <w:b/>
        </w:rPr>
        <w:t>Building and sharing knowledge to increase the range and scale of suitable housing:</w:t>
      </w:r>
    </w:p>
    <w:p w:rsidR="00211438" w:rsidRDefault="00211438" w:rsidP="009714B9">
      <w:pPr>
        <w:pStyle w:val="Bullets"/>
        <w:rPr>
          <w:lang w:val="en-US"/>
        </w:rPr>
      </w:pPr>
      <w:r w:rsidRPr="00211438">
        <w:rPr>
          <w:lang w:val="en-US"/>
        </w:rPr>
        <w:t>Developed Get Building SDA website</w:t>
      </w:r>
      <w:r>
        <w:rPr>
          <w:lang w:val="en-US"/>
        </w:rPr>
        <w:t xml:space="preserve"> </w:t>
      </w:r>
      <w:r w:rsidRPr="00211438">
        <w:rPr>
          <w:lang w:val="en-US"/>
        </w:rPr>
        <w:t>and resources</w:t>
      </w:r>
    </w:p>
    <w:p w:rsidR="00211438" w:rsidRDefault="00211438" w:rsidP="009714B9">
      <w:pPr>
        <w:pStyle w:val="Bullets"/>
        <w:rPr>
          <w:lang w:val="en-US"/>
        </w:rPr>
      </w:pPr>
      <w:r w:rsidRPr="00211438">
        <w:rPr>
          <w:lang w:val="en-US"/>
        </w:rPr>
        <w:t>More than 350 attended 5 workshops to connect PWD and SDA providers</w:t>
      </w:r>
    </w:p>
    <w:p w:rsidR="00211438" w:rsidRDefault="00211438" w:rsidP="009714B9">
      <w:pPr>
        <w:pStyle w:val="Bullets"/>
        <w:rPr>
          <w:lang w:val="en-US"/>
        </w:rPr>
      </w:pPr>
      <w:r w:rsidRPr="00211438">
        <w:rPr>
          <w:lang w:val="en-US"/>
        </w:rPr>
        <w:t>More than 200 SDA providers and investors attended 14 workshops across NSW</w:t>
      </w:r>
    </w:p>
    <w:p w:rsidR="00211438" w:rsidRDefault="00211438" w:rsidP="009714B9">
      <w:pPr>
        <w:pStyle w:val="Bullets"/>
        <w:rPr>
          <w:lang w:val="en-US"/>
        </w:rPr>
      </w:pPr>
      <w:r w:rsidRPr="00211438">
        <w:rPr>
          <w:lang w:val="en-US"/>
        </w:rPr>
        <w:t>Get Building SDA National Conference –</w:t>
      </w:r>
      <w:r>
        <w:rPr>
          <w:lang w:val="en-US"/>
        </w:rPr>
        <w:t xml:space="preserve"> </w:t>
      </w:r>
      <w:r w:rsidRPr="00211438">
        <w:rPr>
          <w:lang w:val="en-US"/>
        </w:rPr>
        <w:t>more than 400 attendees and 20 presenters, including NDIA CEO and Minister for Social Services</w:t>
      </w:r>
    </w:p>
    <w:p w:rsidR="00211438" w:rsidRPr="00211438" w:rsidRDefault="00211438" w:rsidP="009714B9">
      <w:pPr>
        <w:pStyle w:val="Bullets"/>
        <w:rPr>
          <w:lang w:val="en-US"/>
        </w:rPr>
      </w:pPr>
      <w:r w:rsidRPr="00211438">
        <w:rPr>
          <w:lang w:val="en-US"/>
        </w:rPr>
        <w:t>A national survey identified more than 1500 new SDA places in development</w:t>
      </w:r>
    </w:p>
    <w:p w:rsidR="00211438" w:rsidRDefault="00211438" w:rsidP="009714B9">
      <w:pPr>
        <w:pStyle w:val="BUlletslast"/>
      </w:pPr>
      <w:r w:rsidRPr="00211438">
        <w:t xml:space="preserve">Led joint submission with 21 </w:t>
      </w:r>
      <w:proofErr w:type="spellStart"/>
      <w:r w:rsidRPr="00211438">
        <w:t>organisations</w:t>
      </w:r>
      <w:proofErr w:type="spellEnd"/>
      <w:r w:rsidRPr="00211438">
        <w:t xml:space="preserve"> to the Federal Government review of the SDA Framework</w:t>
      </w:r>
    </w:p>
    <w:p w:rsidR="00211438" w:rsidRPr="00211438" w:rsidRDefault="00211438" w:rsidP="00211438">
      <w:pPr>
        <w:rPr>
          <w:b/>
        </w:rPr>
      </w:pPr>
      <w:r w:rsidRPr="00211438">
        <w:rPr>
          <w:b/>
        </w:rPr>
        <w:t>Innovation and collaboration:</w:t>
      </w:r>
    </w:p>
    <w:p w:rsidR="00211438" w:rsidRPr="00211438" w:rsidRDefault="00211438" w:rsidP="009714B9">
      <w:pPr>
        <w:pStyle w:val="BUlletslast"/>
      </w:pPr>
      <w:r w:rsidRPr="00211438">
        <w:t>Built a rapid interim housing prototype</w:t>
      </w:r>
    </w:p>
    <w:p w:rsidR="00F457E5" w:rsidRDefault="00F457E5">
      <w:pPr>
        <w:spacing w:after="0" w:line="240" w:lineRule="auto"/>
        <w:rPr>
          <w:rFonts w:eastAsia="Helvetica Neue" w:cstheme="majorBidi"/>
          <w:b/>
          <w:color w:val="000000" w:themeColor="text1"/>
          <w:sz w:val="28"/>
        </w:rPr>
      </w:pPr>
      <w:r>
        <w:rPr>
          <w:rFonts w:eastAsia="Helvetica Neue" w:cstheme="majorBidi"/>
          <w:b/>
          <w:color w:val="000000" w:themeColor="text1"/>
          <w:sz w:val="28"/>
        </w:rPr>
        <w:br w:type="page"/>
      </w:r>
    </w:p>
    <w:p w:rsidR="00211438" w:rsidRDefault="00211438" w:rsidP="00211438">
      <w:pPr>
        <w:suppressAutoHyphens/>
        <w:autoSpaceDE w:val="0"/>
        <w:autoSpaceDN w:val="0"/>
        <w:adjustRightInd w:val="0"/>
        <w:spacing w:before="113" w:after="170"/>
        <w:textAlignment w:val="center"/>
        <w:outlineLvl w:val="3"/>
        <w:rPr>
          <w:rFonts w:eastAsia="Helvetica Neue" w:cstheme="majorBidi"/>
          <w:b/>
          <w:color w:val="000000" w:themeColor="text1"/>
          <w:sz w:val="28"/>
        </w:rPr>
      </w:pPr>
      <w:r w:rsidRPr="00211438">
        <w:rPr>
          <w:rFonts w:eastAsia="Helvetica Neue" w:cstheme="majorBidi"/>
          <w:b/>
          <w:color w:val="000000" w:themeColor="text1"/>
          <w:sz w:val="28"/>
        </w:rPr>
        <w:lastRenderedPageBreak/>
        <w:t>WHAT’S TO COME IN 2019 – 2020</w:t>
      </w:r>
    </w:p>
    <w:p w:rsidR="00211438" w:rsidRDefault="00211438" w:rsidP="00211438">
      <w:pPr>
        <w:rPr>
          <w:lang w:val="en-US"/>
        </w:rPr>
      </w:pPr>
      <w:r w:rsidRPr="00211438">
        <w:rPr>
          <w:b/>
        </w:rPr>
        <w:t>Navigating the housing market:</w:t>
      </w:r>
    </w:p>
    <w:p w:rsidR="00211438" w:rsidRPr="00211438" w:rsidRDefault="00211438" w:rsidP="009714B9">
      <w:pPr>
        <w:pStyle w:val="Bullets"/>
        <w:rPr>
          <w:b/>
        </w:rPr>
      </w:pPr>
      <w:r w:rsidRPr="00211438">
        <w:rPr>
          <w:lang w:val="en-US"/>
        </w:rPr>
        <w:t>Match more than 100 NDIS participants with new SDA places</w:t>
      </w:r>
    </w:p>
    <w:p w:rsidR="00211438" w:rsidRDefault="00211438" w:rsidP="009714B9">
      <w:pPr>
        <w:pStyle w:val="Bullets"/>
        <w:rPr>
          <w:lang w:val="en-US"/>
        </w:rPr>
      </w:pPr>
      <w:r w:rsidRPr="00211438">
        <w:rPr>
          <w:lang w:val="en-US"/>
        </w:rPr>
        <w:t xml:space="preserve">Upgrade </w:t>
      </w:r>
      <w:proofErr w:type="gramStart"/>
      <w:r w:rsidRPr="00211438">
        <w:rPr>
          <w:lang w:val="en-US"/>
        </w:rPr>
        <w:t>The</w:t>
      </w:r>
      <w:proofErr w:type="gramEnd"/>
      <w:r w:rsidRPr="00211438">
        <w:rPr>
          <w:lang w:val="en-US"/>
        </w:rPr>
        <w:t xml:space="preserve"> Housing Hub to include participant profile and ‘smart matching’ functions</w:t>
      </w:r>
      <w:r w:rsidRPr="00211438">
        <w:rPr>
          <w:lang w:val="en-US"/>
        </w:rPr>
        <w:br/>
        <w:t>Share stories of housing outcomes</w:t>
      </w:r>
    </w:p>
    <w:p w:rsidR="00211438" w:rsidRPr="00211438" w:rsidRDefault="00211438" w:rsidP="009714B9">
      <w:pPr>
        <w:pStyle w:val="BUlletslast"/>
      </w:pPr>
      <w:r w:rsidRPr="00211438">
        <w:t>Understand the barriers to achieving great housing outcomes and share stories of these being overcome</w:t>
      </w:r>
    </w:p>
    <w:p w:rsidR="00211438" w:rsidRDefault="00211438" w:rsidP="009714B9">
      <w:pPr>
        <w:pStyle w:val="Bullets"/>
        <w:numPr>
          <w:ilvl w:val="0"/>
          <w:numId w:val="0"/>
        </w:numPr>
        <w:ind w:left="720"/>
        <w:rPr>
          <w:rFonts w:ascii="Guardian Sans Light" w:hAnsi="Guardian Sans Light" w:cs="Guardian Sans Light"/>
          <w:color w:val="000000"/>
          <w:spacing w:val="5"/>
          <w:position w:val="8"/>
          <w:sz w:val="18"/>
          <w:szCs w:val="18"/>
          <w:lang w:val="en-US"/>
        </w:rPr>
      </w:pPr>
      <w:r w:rsidRPr="00211438">
        <w:t>Innovation and collaboration:</w:t>
      </w:r>
    </w:p>
    <w:p w:rsidR="00211438" w:rsidRDefault="00211438" w:rsidP="009714B9">
      <w:pPr>
        <w:pStyle w:val="BUlletslast"/>
      </w:pPr>
      <w:r w:rsidRPr="00211438">
        <w:t xml:space="preserve">Develop national education resources for SDA providers about best practice </w:t>
      </w:r>
    </w:p>
    <w:p w:rsidR="00211438" w:rsidRDefault="00211438" w:rsidP="00211438">
      <w:pPr>
        <w:rPr>
          <w:b/>
        </w:rPr>
      </w:pPr>
      <w:r w:rsidRPr="00211438">
        <w:rPr>
          <w:b/>
        </w:rPr>
        <w:t>Building</w:t>
      </w:r>
      <w:r>
        <w:rPr>
          <w:b/>
        </w:rPr>
        <w:t xml:space="preserve"> understanding:</w:t>
      </w:r>
    </w:p>
    <w:p w:rsidR="00211438" w:rsidRPr="00F457E5" w:rsidRDefault="00211438" w:rsidP="009714B9">
      <w:pPr>
        <w:pStyle w:val="BUlletslast"/>
        <w:rPr>
          <w:b/>
        </w:rPr>
      </w:pPr>
      <w:r w:rsidRPr="00211438">
        <w:t>Roadmap to outline future of disability housing in Australia</w:t>
      </w:r>
    </w:p>
    <w:p w:rsidR="00F457E5" w:rsidRDefault="00F457E5" w:rsidP="009714B9">
      <w:pPr>
        <w:pStyle w:val="Bullets"/>
        <w:numPr>
          <w:ilvl w:val="0"/>
          <w:numId w:val="0"/>
        </w:numPr>
      </w:pPr>
      <w:r w:rsidRPr="00F457E5">
        <w:t xml:space="preserve">Building the evidence base: </w:t>
      </w:r>
    </w:p>
    <w:p w:rsidR="00F457E5" w:rsidRPr="00F457E5" w:rsidRDefault="00F457E5" w:rsidP="009714B9">
      <w:pPr>
        <w:pStyle w:val="Bullets"/>
        <w:rPr>
          <w:b/>
        </w:rPr>
      </w:pPr>
      <w:r w:rsidRPr="00F457E5">
        <w:t>Research into SDA tenant outcomes</w:t>
      </w:r>
    </w:p>
    <w:p w:rsidR="00F457E5" w:rsidRPr="00F457E5" w:rsidRDefault="00F457E5" w:rsidP="009714B9">
      <w:pPr>
        <w:pStyle w:val="Bullets"/>
        <w:rPr>
          <w:lang w:val="en-US"/>
        </w:rPr>
      </w:pPr>
      <w:proofErr w:type="spellStart"/>
      <w:r w:rsidRPr="00F457E5">
        <w:rPr>
          <w:lang w:val="en-US"/>
        </w:rPr>
        <w:t>Analyse</w:t>
      </w:r>
      <w:proofErr w:type="spellEnd"/>
      <w:r w:rsidRPr="00F457E5">
        <w:rPr>
          <w:lang w:val="en-US"/>
        </w:rPr>
        <w:t xml:space="preserve"> demand data from people with disability seeking housing</w:t>
      </w:r>
    </w:p>
    <w:p w:rsidR="00F457E5" w:rsidRPr="00F457E5" w:rsidRDefault="00F457E5" w:rsidP="009714B9">
      <w:pPr>
        <w:pStyle w:val="Bullets"/>
        <w:rPr>
          <w:lang w:val="en-US"/>
        </w:rPr>
      </w:pPr>
      <w:r w:rsidRPr="00F457E5">
        <w:rPr>
          <w:lang w:val="en-US"/>
        </w:rPr>
        <w:t>Pilot different ways to match people with disability in hospital with housing</w:t>
      </w:r>
    </w:p>
    <w:p w:rsidR="00F457E5" w:rsidRDefault="00F457E5" w:rsidP="009714B9">
      <w:pPr>
        <w:pStyle w:val="BUlletslast"/>
      </w:pPr>
      <w:r w:rsidRPr="00F457E5">
        <w:t xml:space="preserve">Deliver the second round of SDA supply survey </w:t>
      </w:r>
    </w:p>
    <w:p w:rsidR="00F457E5" w:rsidRDefault="00F457E5">
      <w:pPr>
        <w:spacing w:after="0" w:line="240" w:lineRule="auto"/>
        <w:rPr>
          <w:lang w:val="en-US"/>
        </w:rPr>
      </w:pPr>
      <w:r>
        <w:br w:type="page"/>
      </w:r>
    </w:p>
    <w:p w:rsidR="00F457E5" w:rsidRDefault="00F457E5" w:rsidP="00F457E5">
      <w:pPr>
        <w:pStyle w:val="Heading1"/>
      </w:pPr>
      <w:r>
        <w:lastRenderedPageBreak/>
        <w:t>NDIS</w:t>
      </w:r>
    </w:p>
    <w:p w:rsidR="00F457E5" w:rsidRDefault="00F457E5" w:rsidP="00F457E5">
      <w:pPr>
        <w:pStyle w:val="introbold"/>
        <w:rPr>
          <w:rFonts w:ascii="Helvetica Neue" w:eastAsia="Helvetica Neue" w:hAnsi="Helvetica Neue" w:cstheme="majorBidi"/>
          <w:b/>
          <w:color w:val="000000" w:themeColor="text1"/>
          <w:spacing w:val="0"/>
          <w:sz w:val="24"/>
          <w:szCs w:val="24"/>
          <w:lang w:val="en-AU"/>
        </w:rPr>
      </w:pPr>
      <w:r w:rsidRPr="00F457E5">
        <w:rPr>
          <w:rFonts w:ascii="Helvetica Neue" w:eastAsia="Helvetica Neue" w:hAnsi="Helvetica Neue" w:cstheme="majorBidi"/>
          <w:b/>
          <w:color w:val="000000" w:themeColor="text1"/>
          <w:spacing w:val="0"/>
          <w:sz w:val="24"/>
          <w:szCs w:val="24"/>
          <w:lang w:val="en-AU"/>
        </w:rPr>
        <w:t>By June 2021 younger people in RAC and those at risk of entry to RAC should have the capacity and support to achieve their goals through access to the NDIS.</w:t>
      </w:r>
    </w:p>
    <w:p w:rsidR="00F457E5" w:rsidRDefault="00F457E5" w:rsidP="00F457E5">
      <w:pPr>
        <w:pStyle w:val="Heading3"/>
      </w:pPr>
      <w:r w:rsidRPr="00211438">
        <w:t>WHAT WE ACHIEVED IN 2018 – 2019</w:t>
      </w:r>
    </w:p>
    <w:p w:rsidR="00F457E5" w:rsidRDefault="00F457E5" w:rsidP="00F457E5">
      <w:pPr>
        <w:pStyle w:val="SUbHEad-table"/>
        <w:spacing w:before="57" w:after="113"/>
        <w:rPr>
          <w:rFonts w:ascii="Helvetica Neue" w:hAnsi="Helvetica Neue" w:cstheme="minorBidi"/>
          <w:b/>
          <w:color w:val="auto"/>
          <w:spacing w:val="0"/>
          <w:sz w:val="21"/>
          <w:szCs w:val="24"/>
          <w:lang w:val="en-AU"/>
        </w:rPr>
      </w:pPr>
      <w:r w:rsidRPr="00F457E5">
        <w:rPr>
          <w:rFonts w:ascii="Helvetica Neue" w:hAnsi="Helvetica Neue" w:cstheme="minorBidi"/>
          <w:b/>
          <w:color w:val="auto"/>
          <w:spacing w:val="0"/>
          <w:sz w:val="21"/>
          <w:szCs w:val="24"/>
          <w:lang w:val="en-AU"/>
        </w:rPr>
        <w:t xml:space="preserve">Summer Foundation impact on NDIS response to needs of younger people in RAC </w:t>
      </w:r>
      <w:r w:rsidRPr="00F457E5">
        <w:rPr>
          <w:rFonts w:ascii="Helvetica Neue" w:hAnsi="Helvetica Neue" w:cstheme="minorBidi"/>
          <w:b/>
          <w:color w:val="auto"/>
          <w:spacing w:val="0"/>
          <w:sz w:val="21"/>
          <w:szCs w:val="24"/>
          <w:lang w:val="en-AU"/>
        </w:rPr>
        <w:br/>
        <w:t>or those at risk:</w:t>
      </w:r>
    </w:p>
    <w:p w:rsidR="00F457E5" w:rsidRPr="00F457E5" w:rsidRDefault="00F457E5" w:rsidP="009714B9">
      <w:pPr>
        <w:pStyle w:val="Bullets"/>
        <w:rPr>
          <w:lang w:val="en-US"/>
        </w:rPr>
      </w:pPr>
      <w:r w:rsidRPr="00F457E5">
        <w:rPr>
          <w:lang w:val="en-US"/>
        </w:rPr>
        <w:t>Advocacy at more than 15 meetings with ministers, advisors and senior officials</w:t>
      </w:r>
    </w:p>
    <w:p w:rsidR="00F457E5" w:rsidRPr="00F457E5" w:rsidRDefault="00F457E5" w:rsidP="009714B9">
      <w:pPr>
        <w:pStyle w:val="Bullets"/>
        <w:rPr>
          <w:lang w:val="en-US"/>
        </w:rPr>
      </w:pPr>
      <w:r w:rsidRPr="00F457E5">
        <w:rPr>
          <w:lang w:val="en-US"/>
        </w:rPr>
        <w:t>Informed the development of Federal Government National Action Plan to halve number of young people in RAC by 2025</w:t>
      </w:r>
    </w:p>
    <w:p w:rsidR="00F457E5" w:rsidRPr="00F457E5" w:rsidRDefault="00F457E5" w:rsidP="009714B9">
      <w:pPr>
        <w:pStyle w:val="Bullets"/>
        <w:rPr>
          <w:lang w:val="en-US"/>
        </w:rPr>
      </w:pPr>
      <w:r w:rsidRPr="00F457E5">
        <w:rPr>
          <w:lang w:val="en-US"/>
        </w:rPr>
        <w:t>NDIS report cards to monitor NDIS performance</w:t>
      </w:r>
    </w:p>
    <w:p w:rsidR="00F457E5" w:rsidRDefault="00F457E5" w:rsidP="009714B9">
      <w:pPr>
        <w:pStyle w:val="BUlletslast"/>
      </w:pPr>
      <w:r w:rsidRPr="00F457E5">
        <w:t xml:space="preserve">Published 4 written resources and 13 digital products to help young people in aged care </w:t>
      </w:r>
      <w:r w:rsidRPr="00F457E5">
        <w:br/>
        <w:t>get a good NDIS plan</w:t>
      </w:r>
    </w:p>
    <w:p w:rsidR="00F457E5" w:rsidRDefault="00F457E5" w:rsidP="009714B9">
      <w:pPr>
        <w:pStyle w:val="Bullets"/>
        <w:numPr>
          <w:ilvl w:val="0"/>
          <w:numId w:val="0"/>
        </w:numPr>
      </w:pPr>
      <w:r w:rsidRPr="00F457E5">
        <w:t>Better implementation of NDIS plans:</w:t>
      </w:r>
    </w:p>
    <w:p w:rsidR="00F457E5" w:rsidRPr="00F457E5" w:rsidRDefault="00F457E5" w:rsidP="009714B9">
      <w:pPr>
        <w:pStyle w:val="Bullets"/>
      </w:pPr>
      <w:r w:rsidRPr="00F457E5">
        <w:t>Launched ‘</w:t>
      </w:r>
      <w:proofErr w:type="spellStart"/>
      <w:r w:rsidRPr="00F457E5">
        <w:t>UpSkill</w:t>
      </w:r>
      <w:proofErr w:type="spellEnd"/>
      <w:r w:rsidRPr="00F457E5">
        <w:t>’ to build capacity of support coordination workforce</w:t>
      </w:r>
    </w:p>
    <w:p w:rsidR="00F457E5" w:rsidRPr="00F457E5" w:rsidRDefault="00F457E5" w:rsidP="009714B9">
      <w:pPr>
        <w:pStyle w:val="BUlletslast"/>
      </w:pPr>
      <w:r w:rsidRPr="00F457E5">
        <w:t>Training sessions for support coordinators</w:t>
      </w:r>
    </w:p>
    <w:p w:rsidR="00F457E5" w:rsidRDefault="00F457E5" w:rsidP="009714B9">
      <w:pPr>
        <w:pStyle w:val="Bullets"/>
        <w:numPr>
          <w:ilvl w:val="0"/>
          <w:numId w:val="0"/>
        </w:numPr>
      </w:pPr>
      <w:r w:rsidRPr="00F457E5">
        <w:t>WHAT’S TO COME IN 2019 – 2020</w:t>
      </w:r>
    </w:p>
    <w:p w:rsidR="00F457E5" w:rsidRDefault="00F457E5" w:rsidP="009714B9">
      <w:pPr>
        <w:pStyle w:val="Bullets"/>
        <w:numPr>
          <w:ilvl w:val="0"/>
          <w:numId w:val="0"/>
        </w:numPr>
      </w:pPr>
      <w:r w:rsidRPr="00F457E5">
        <w:t>Better implementation of NDIS plans:</w:t>
      </w:r>
    </w:p>
    <w:p w:rsidR="00F457E5" w:rsidRPr="00F457E5" w:rsidRDefault="00F457E5" w:rsidP="009714B9">
      <w:pPr>
        <w:pStyle w:val="Bullets"/>
        <w:rPr>
          <w:lang w:val="en-US"/>
        </w:rPr>
      </w:pPr>
      <w:r w:rsidRPr="00F457E5">
        <w:rPr>
          <w:lang w:val="en-US"/>
        </w:rPr>
        <w:t xml:space="preserve">Collect data on NDIS plans, </w:t>
      </w:r>
      <w:r w:rsidRPr="00F457E5">
        <w:rPr>
          <w:spacing w:val="2"/>
          <w:lang w:val="en-US"/>
        </w:rPr>
        <w:t>support needs and outcomes</w:t>
      </w:r>
    </w:p>
    <w:p w:rsidR="00F457E5" w:rsidRPr="00F457E5" w:rsidRDefault="00F457E5" w:rsidP="009714B9">
      <w:pPr>
        <w:pStyle w:val="Bullets"/>
        <w:rPr>
          <w:lang w:val="en-US"/>
        </w:rPr>
      </w:pPr>
      <w:r w:rsidRPr="00F457E5">
        <w:rPr>
          <w:lang w:val="en-US"/>
        </w:rPr>
        <w:t>Participate in YPIRAC Aged Care Action Plan reference group</w:t>
      </w:r>
    </w:p>
    <w:p w:rsidR="00F457E5" w:rsidRPr="00F457E5" w:rsidRDefault="00F457E5" w:rsidP="009714B9">
      <w:pPr>
        <w:pStyle w:val="Bullets"/>
        <w:rPr>
          <w:lang w:val="en-US"/>
        </w:rPr>
      </w:pPr>
      <w:r w:rsidRPr="00F457E5">
        <w:rPr>
          <w:lang w:val="en-US"/>
        </w:rPr>
        <w:t xml:space="preserve">NDIS report cards to </w:t>
      </w:r>
      <w:proofErr w:type="spellStart"/>
      <w:r w:rsidRPr="00F457E5">
        <w:rPr>
          <w:lang w:val="en-US"/>
        </w:rPr>
        <w:t>monitorNDIS</w:t>
      </w:r>
      <w:proofErr w:type="spellEnd"/>
      <w:r w:rsidRPr="00F457E5">
        <w:rPr>
          <w:lang w:val="en-US"/>
        </w:rPr>
        <w:t xml:space="preserve"> performance</w:t>
      </w:r>
    </w:p>
    <w:p w:rsidR="00F457E5" w:rsidRPr="00F457E5" w:rsidRDefault="00F457E5" w:rsidP="009714B9">
      <w:pPr>
        <w:pStyle w:val="Bullets"/>
        <w:rPr>
          <w:lang w:val="en-US"/>
        </w:rPr>
      </w:pPr>
      <w:r w:rsidRPr="00F457E5">
        <w:rPr>
          <w:lang w:val="en-US"/>
        </w:rPr>
        <w:t>Contribute to new National Disability Agreement</w:t>
      </w:r>
    </w:p>
    <w:p w:rsidR="00F457E5" w:rsidRPr="00F457E5" w:rsidRDefault="00F457E5" w:rsidP="009714B9">
      <w:pPr>
        <w:pStyle w:val="BUlletslast"/>
        <w:rPr>
          <w:rFonts w:eastAsia="Helvetica Neue" w:cstheme="majorBidi"/>
          <w:b/>
          <w:color w:val="000000" w:themeColor="text1"/>
          <w:sz w:val="28"/>
        </w:rPr>
      </w:pPr>
      <w:r w:rsidRPr="00F457E5">
        <w:t>Share stories of excellent support coordination</w:t>
      </w:r>
    </w:p>
    <w:p w:rsidR="00F457E5" w:rsidRDefault="00F457E5" w:rsidP="009714B9">
      <w:pPr>
        <w:pStyle w:val="Bullets"/>
        <w:numPr>
          <w:ilvl w:val="0"/>
          <w:numId w:val="0"/>
        </w:numPr>
      </w:pPr>
      <w:r w:rsidRPr="00F457E5">
        <w:t xml:space="preserve">Building workforce capacity: </w:t>
      </w:r>
    </w:p>
    <w:p w:rsidR="00F457E5" w:rsidRDefault="00F457E5" w:rsidP="009714B9">
      <w:pPr>
        <w:pStyle w:val="Bullets"/>
        <w:rPr>
          <w:lang w:val="en-US"/>
        </w:rPr>
      </w:pPr>
      <w:r w:rsidRPr="00F457E5">
        <w:rPr>
          <w:lang w:val="en-US"/>
        </w:rPr>
        <w:t xml:space="preserve">Expand </w:t>
      </w:r>
      <w:proofErr w:type="spellStart"/>
      <w:r w:rsidRPr="00F457E5">
        <w:rPr>
          <w:lang w:val="en-US"/>
        </w:rPr>
        <w:t>UpSkill</w:t>
      </w:r>
      <w:proofErr w:type="spellEnd"/>
      <w:r w:rsidRPr="00F457E5">
        <w:rPr>
          <w:lang w:val="en-US"/>
        </w:rPr>
        <w:t xml:space="preserve"> program to build the capacity of support coordinators</w:t>
      </w:r>
    </w:p>
    <w:p w:rsidR="00F457E5" w:rsidRDefault="00F457E5">
      <w:pPr>
        <w:spacing w:after="0" w:line="240" w:lineRule="auto"/>
        <w:rPr>
          <w:lang w:val="en-US"/>
        </w:rPr>
      </w:pPr>
      <w:r>
        <w:rPr>
          <w:lang w:val="en-US"/>
        </w:rPr>
        <w:br w:type="page"/>
      </w:r>
    </w:p>
    <w:p w:rsidR="00F457E5" w:rsidRDefault="00F457E5" w:rsidP="00F457E5">
      <w:pPr>
        <w:pStyle w:val="Heading1"/>
        <w:rPr>
          <w:w w:val="98"/>
          <w:lang w:val="en-US"/>
        </w:rPr>
      </w:pPr>
      <w:r w:rsidRPr="00F457E5">
        <w:rPr>
          <w:w w:val="98"/>
          <w:lang w:val="en-US"/>
        </w:rPr>
        <w:lastRenderedPageBreak/>
        <w:t>PATHWAYS HOME</w:t>
      </w:r>
    </w:p>
    <w:p w:rsidR="00F457E5" w:rsidRDefault="00F457E5" w:rsidP="00F457E5">
      <w:pPr>
        <w:pStyle w:val="Heading4"/>
      </w:pPr>
      <w:r>
        <w:t xml:space="preserve">By June 2021 clear communication and effective collaboration between health, disability and </w:t>
      </w:r>
      <w:proofErr w:type="gramStart"/>
      <w:r>
        <w:t>other  systems</w:t>
      </w:r>
      <w:proofErr w:type="gramEnd"/>
      <w:r>
        <w:t xml:space="preserve"> will support young people to return to the community post hospital discharge.</w:t>
      </w:r>
    </w:p>
    <w:p w:rsidR="00F457E5" w:rsidRDefault="00F457E5" w:rsidP="00F457E5">
      <w:pPr>
        <w:pStyle w:val="Heading3"/>
      </w:pPr>
      <w:r w:rsidRPr="00211438">
        <w:t>WHAT WE ACHIEVED IN 2018 – 2019</w:t>
      </w:r>
    </w:p>
    <w:p w:rsidR="00F457E5" w:rsidRPr="00F457E5" w:rsidRDefault="00F457E5" w:rsidP="00F457E5">
      <w:pPr>
        <w:pStyle w:val="SUbHEad-table"/>
        <w:spacing w:before="57" w:after="113"/>
        <w:rPr>
          <w:rFonts w:ascii="Helvetica Neue" w:hAnsi="Helvetica Neue" w:cstheme="minorBidi"/>
          <w:b/>
          <w:color w:val="auto"/>
          <w:spacing w:val="0"/>
          <w:sz w:val="21"/>
          <w:szCs w:val="24"/>
          <w:lang w:val="en-AU"/>
        </w:rPr>
      </w:pPr>
      <w:r w:rsidRPr="00F457E5">
        <w:rPr>
          <w:rFonts w:ascii="Helvetica Neue" w:hAnsi="Helvetica Neue" w:cstheme="minorBidi"/>
          <w:b/>
          <w:color w:val="auto"/>
          <w:spacing w:val="0"/>
          <w:sz w:val="21"/>
          <w:szCs w:val="24"/>
          <w:lang w:val="en-AU"/>
        </w:rPr>
        <w:t>Young people have better support to leave aged care:</w:t>
      </w:r>
    </w:p>
    <w:p w:rsidR="00F457E5" w:rsidRPr="00F457E5" w:rsidRDefault="00F457E5" w:rsidP="009714B9">
      <w:pPr>
        <w:pStyle w:val="Bullets"/>
      </w:pPr>
      <w:r w:rsidRPr="00F457E5">
        <w:rPr>
          <w:lang w:val="en-US"/>
        </w:rPr>
        <w:t>15 written resources and 7 digital products</w:t>
      </w:r>
      <w:r>
        <w:rPr>
          <w:lang w:val="en-US"/>
        </w:rPr>
        <w:t xml:space="preserve"> </w:t>
      </w:r>
      <w:r w:rsidRPr="00F457E5">
        <w:rPr>
          <w:lang w:val="en-US"/>
        </w:rPr>
        <w:t>to help aged care and ACAT providers support young people to leave aged</w:t>
      </w:r>
      <w:r>
        <w:rPr>
          <w:lang w:val="en-US"/>
        </w:rPr>
        <w:t xml:space="preserve"> </w:t>
      </w:r>
      <w:r w:rsidRPr="00F457E5">
        <w:rPr>
          <w:lang w:val="en-US"/>
        </w:rPr>
        <w:t>care</w:t>
      </w:r>
    </w:p>
    <w:p w:rsidR="00F457E5" w:rsidRDefault="00F457E5" w:rsidP="009714B9">
      <w:pPr>
        <w:pStyle w:val="BUlletslast"/>
      </w:pPr>
      <w:r w:rsidRPr="00F457E5">
        <w:t>8 workshops for 57 aged care and ACAT providers</w:t>
      </w:r>
    </w:p>
    <w:p w:rsidR="00F457E5" w:rsidRPr="00F457E5" w:rsidRDefault="00F457E5" w:rsidP="00F457E5">
      <w:pPr>
        <w:pStyle w:val="Heading4"/>
      </w:pPr>
      <w:r w:rsidRPr="00F457E5">
        <w:t>Bringing national focus to the issue:</w:t>
      </w:r>
    </w:p>
    <w:p w:rsidR="00F457E5" w:rsidRPr="00F457E5" w:rsidRDefault="00F457E5" w:rsidP="009714B9">
      <w:pPr>
        <w:pStyle w:val="Bullets"/>
        <w:rPr>
          <w:rFonts w:ascii="Gotham-Medium" w:hAnsi="Gotham-Medium" w:cs="Gotham-Medium"/>
          <w:spacing w:val="4"/>
        </w:rPr>
      </w:pPr>
      <w:r w:rsidRPr="00F457E5">
        <w:t>43 workshops for 1,411 hospital discharge staff to better work with young people</w:t>
      </w:r>
    </w:p>
    <w:p w:rsidR="00F457E5" w:rsidRPr="00F457E5" w:rsidRDefault="00F457E5" w:rsidP="009714B9">
      <w:pPr>
        <w:pStyle w:val="Bullets"/>
      </w:pPr>
      <w:r w:rsidRPr="00F457E5">
        <w:t>Annual Public Forum – From Hospital to Home</w:t>
      </w:r>
    </w:p>
    <w:p w:rsidR="00F457E5" w:rsidRPr="00F457E5" w:rsidRDefault="00F457E5" w:rsidP="009714B9">
      <w:pPr>
        <w:pStyle w:val="Bullets"/>
      </w:pPr>
      <w:r w:rsidRPr="00F457E5">
        <w:t>Supported 100 people to make submissions to Aged Care Royal Commission</w:t>
      </w:r>
    </w:p>
    <w:p w:rsidR="00F457E5" w:rsidRPr="00F457E5" w:rsidRDefault="00F457E5" w:rsidP="009714B9">
      <w:pPr>
        <w:pStyle w:val="BUlletslast"/>
      </w:pPr>
      <w:r w:rsidRPr="00F457E5">
        <w:t>Developed Collaborative Discharge Approach (CDA) that provides guidance for hospital discharge process</w:t>
      </w:r>
    </w:p>
    <w:p w:rsidR="00F457E5" w:rsidRDefault="00F457E5" w:rsidP="009714B9">
      <w:pPr>
        <w:pStyle w:val="Bullets"/>
        <w:numPr>
          <w:ilvl w:val="0"/>
          <w:numId w:val="0"/>
        </w:numPr>
      </w:pPr>
      <w:r w:rsidRPr="00F457E5">
        <w:t>WHAT’S TO COME IN 2019 – 2020</w:t>
      </w:r>
    </w:p>
    <w:p w:rsidR="00FD7EF9" w:rsidRDefault="00FD7EF9" w:rsidP="00FD7EF9">
      <w:pPr>
        <w:pStyle w:val="Heading4"/>
      </w:pPr>
      <w:r w:rsidRPr="00F457E5">
        <w:t>Bringing national focus to the issue:</w:t>
      </w:r>
    </w:p>
    <w:p w:rsidR="00FD7EF9" w:rsidRPr="00FD7EF9" w:rsidRDefault="00FD7EF9" w:rsidP="009714B9">
      <w:pPr>
        <w:pStyle w:val="Bullets"/>
        <w:rPr>
          <w:lang w:val="en-US"/>
        </w:rPr>
      </w:pPr>
      <w:r w:rsidRPr="00FD7EF9">
        <w:rPr>
          <w:lang w:val="en-US"/>
        </w:rPr>
        <w:t>Working with large hospitals to shape and better</w:t>
      </w:r>
      <w:r>
        <w:rPr>
          <w:lang w:val="en-US"/>
        </w:rPr>
        <w:t xml:space="preserve"> </w:t>
      </w:r>
      <w:r w:rsidRPr="00FD7EF9">
        <w:rPr>
          <w:lang w:val="en-US"/>
        </w:rPr>
        <w:t>understand best practice hospital discharge</w:t>
      </w:r>
    </w:p>
    <w:p w:rsidR="00FD7EF9" w:rsidRPr="00FD7EF9" w:rsidRDefault="00FD7EF9" w:rsidP="009714B9">
      <w:pPr>
        <w:pStyle w:val="Bullets"/>
        <w:rPr>
          <w:lang w:val="en-US"/>
        </w:rPr>
      </w:pPr>
      <w:r w:rsidRPr="00FD7EF9">
        <w:rPr>
          <w:lang w:val="en-US"/>
        </w:rPr>
        <w:t>Summer Foundation submission and evidence to Royal Commission</w:t>
      </w:r>
    </w:p>
    <w:p w:rsidR="00FD7EF9" w:rsidRPr="00FD7EF9" w:rsidRDefault="00FD7EF9" w:rsidP="009714B9">
      <w:pPr>
        <w:pStyle w:val="Bullets"/>
        <w:rPr>
          <w:lang w:val="en-US"/>
        </w:rPr>
      </w:pPr>
      <w:r w:rsidRPr="00FD7EF9">
        <w:rPr>
          <w:lang w:val="en-US"/>
        </w:rPr>
        <w:t xml:space="preserve">Policy input into the relationship between health and NDIS in supporting participants to discharge from hospital to home  </w:t>
      </w:r>
    </w:p>
    <w:p w:rsidR="00FD7EF9" w:rsidRPr="00FD7EF9" w:rsidRDefault="00FD7EF9" w:rsidP="009714B9">
      <w:pPr>
        <w:pStyle w:val="Bullets"/>
      </w:pPr>
      <w:r w:rsidRPr="00FD7EF9">
        <w:rPr>
          <w:lang w:val="en-US"/>
        </w:rPr>
        <w:t>Work with hospital senior executives on supporting NDIS participants in their discharge journey</w:t>
      </w:r>
    </w:p>
    <w:p w:rsidR="00FD7EF9" w:rsidRPr="00FD7EF9" w:rsidRDefault="00FD7EF9" w:rsidP="009714B9">
      <w:pPr>
        <w:pStyle w:val="Bullets"/>
        <w:numPr>
          <w:ilvl w:val="0"/>
          <w:numId w:val="0"/>
        </w:numPr>
      </w:pPr>
      <w:r w:rsidRPr="00FD7EF9">
        <w:t>Research:</w:t>
      </w:r>
    </w:p>
    <w:p w:rsidR="00FD7EF9" w:rsidRPr="00FD7EF9" w:rsidRDefault="00FD7EF9" w:rsidP="009714B9">
      <w:pPr>
        <w:pStyle w:val="Bullets"/>
        <w:rPr>
          <w:lang w:val="en-US"/>
        </w:rPr>
      </w:pPr>
      <w:r w:rsidRPr="00FD7EF9">
        <w:rPr>
          <w:lang w:val="en-US"/>
        </w:rPr>
        <w:t xml:space="preserve">Journal article looking at rehab patients discharged to aged care between 2012 </w:t>
      </w:r>
      <w:r>
        <w:rPr>
          <w:lang w:val="en-US"/>
        </w:rPr>
        <w:br/>
      </w:r>
      <w:r w:rsidRPr="00FD7EF9">
        <w:rPr>
          <w:lang w:val="en-US"/>
        </w:rPr>
        <w:t>and 2017</w:t>
      </w:r>
    </w:p>
    <w:p w:rsidR="00FD7EF9" w:rsidRPr="00FD7EF9" w:rsidRDefault="00FD7EF9" w:rsidP="009714B9">
      <w:pPr>
        <w:pStyle w:val="Bullets"/>
      </w:pPr>
      <w:r w:rsidRPr="00FD7EF9">
        <w:rPr>
          <w:lang w:val="en-US"/>
        </w:rPr>
        <w:t xml:space="preserve">Evidence gathering around discharge processes and younger people’s pathways </w:t>
      </w:r>
      <w:r>
        <w:rPr>
          <w:lang w:val="en-US"/>
        </w:rPr>
        <w:br/>
      </w:r>
      <w:r w:rsidRPr="00FD7EF9">
        <w:rPr>
          <w:lang w:val="en-US"/>
        </w:rPr>
        <w:t>into aged care</w:t>
      </w:r>
    </w:p>
    <w:p w:rsidR="00FD7EF9" w:rsidRDefault="00FD7EF9">
      <w:pPr>
        <w:spacing w:after="0" w:line="240" w:lineRule="auto"/>
      </w:pPr>
      <w:r>
        <w:br w:type="page"/>
      </w:r>
    </w:p>
    <w:p w:rsidR="00FD7EF9" w:rsidRDefault="00FD7EF9" w:rsidP="00FD7EF9">
      <w:pPr>
        <w:pStyle w:val="Heading1"/>
        <w:rPr>
          <w:w w:val="98"/>
          <w:lang w:val="en-US"/>
        </w:rPr>
      </w:pPr>
      <w:r w:rsidRPr="00F457E5">
        <w:rPr>
          <w:w w:val="98"/>
          <w:lang w:val="en-US"/>
        </w:rPr>
        <w:lastRenderedPageBreak/>
        <w:t>P</w:t>
      </w:r>
      <w:r w:rsidR="007351F1">
        <w:rPr>
          <w:w w:val="98"/>
          <w:lang w:val="en-US"/>
        </w:rPr>
        <w:t>RIMARY &amp; COMMUNITY HEALTH</w:t>
      </w:r>
    </w:p>
    <w:p w:rsidR="007351F1" w:rsidRDefault="007351F1" w:rsidP="007351F1">
      <w:pPr>
        <w:pStyle w:val="Heading4"/>
      </w:pPr>
      <w:r>
        <w:t>By June 2021 we will understand what needs to be done to ensure people get the right support to live in their communities.</w:t>
      </w:r>
    </w:p>
    <w:p w:rsidR="00FD7EF9" w:rsidRDefault="00FD7EF9" w:rsidP="00FD7EF9">
      <w:pPr>
        <w:pStyle w:val="Heading3"/>
      </w:pPr>
      <w:r w:rsidRPr="00211438">
        <w:t>WHAT WE ACHIEVED IN 2018 – 2019</w:t>
      </w:r>
    </w:p>
    <w:p w:rsidR="007351F1" w:rsidRPr="007351F1" w:rsidRDefault="007351F1" w:rsidP="009714B9">
      <w:pPr>
        <w:pStyle w:val="BUlletslast"/>
      </w:pPr>
      <w:r w:rsidRPr="007351F1">
        <w:t>A scoping review to examine the health needs, costs and services used by people with disability and complex support needs</w:t>
      </w:r>
    </w:p>
    <w:p w:rsidR="007351F1" w:rsidRDefault="007351F1" w:rsidP="009714B9">
      <w:pPr>
        <w:pStyle w:val="Bullets"/>
        <w:numPr>
          <w:ilvl w:val="0"/>
          <w:numId w:val="0"/>
        </w:numPr>
      </w:pPr>
      <w:r w:rsidRPr="007351F1">
        <w:t>WHAT’S TO COME IN 2019 – 2020</w:t>
      </w:r>
    </w:p>
    <w:p w:rsidR="007351F1" w:rsidRPr="007351F1" w:rsidRDefault="007351F1" w:rsidP="009714B9">
      <w:pPr>
        <w:pStyle w:val="BUlletslast"/>
      </w:pPr>
      <w:r w:rsidRPr="007351F1">
        <w:t>Engagement with primary and community hea</w:t>
      </w:r>
      <w:r>
        <w:t>lth professionals across Victoria</w:t>
      </w:r>
    </w:p>
    <w:p w:rsidR="007351F1" w:rsidRDefault="007351F1">
      <w:pPr>
        <w:spacing w:after="0" w:line="240" w:lineRule="auto"/>
        <w:rPr>
          <w:rFonts w:eastAsia="Helvetica Neue" w:cstheme="majorBidi"/>
          <w:b/>
          <w:color w:val="000000" w:themeColor="text1"/>
          <w:sz w:val="28"/>
        </w:rPr>
      </w:pPr>
      <w:r>
        <w:rPr>
          <w:rFonts w:eastAsia="Helvetica Neue" w:cstheme="majorBidi"/>
          <w:b/>
          <w:color w:val="000000" w:themeColor="text1"/>
          <w:sz w:val="28"/>
        </w:rPr>
        <w:br w:type="page"/>
      </w:r>
    </w:p>
    <w:p w:rsidR="00AC69BF" w:rsidRPr="00AC69BF" w:rsidRDefault="007351F1" w:rsidP="00AC69BF">
      <w:pPr>
        <w:pStyle w:val="TitleBox"/>
        <w:rPr>
          <w:spacing w:val="4"/>
        </w:rPr>
      </w:pPr>
      <w:r>
        <w:lastRenderedPageBreak/>
        <w:t>Our People</w:t>
      </w:r>
      <w:r w:rsidR="00AC69BF">
        <w:t xml:space="preserve">                                                    </w:t>
      </w:r>
      <w:r w:rsidR="00AC69BF" w:rsidRPr="00AC69BF">
        <w:rPr>
          <w:sz w:val="20"/>
          <w:szCs w:val="20"/>
          <w:lang w:val="en-US"/>
        </w:rPr>
        <w:t>*As at 30 June 2019</w:t>
      </w:r>
    </w:p>
    <w:p w:rsidR="00AB2A87" w:rsidRDefault="00AB2A87" w:rsidP="00673BEC">
      <w:pPr>
        <w:pStyle w:val="Heading3"/>
        <w:spacing w:line="228" w:lineRule="auto"/>
      </w:pPr>
      <w:r>
        <w:t>Research and Innovation</w:t>
      </w:r>
    </w:p>
    <w:p w:rsidR="00AB2A87" w:rsidRDefault="00AB2A87" w:rsidP="00673BEC">
      <w:pPr>
        <w:spacing w:line="228" w:lineRule="auto"/>
      </w:pPr>
      <w:r>
        <w:t>Work to properly understand why young people end up in nursing homes and give us the info we need to find ways to solve the problem.</w:t>
      </w:r>
    </w:p>
    <w:p w:rsidR="00AB2A87" w:rsidRDefault="00AB2A87" w:rsidP="009714B9">
      <w:pPr>
        <w:pStyle w:val="Bullets"/>
      </w:pPr>
      <w:r>
        <w:t>Dr Di Winkler – Chief of Research &amp; Innovation</w:t>
      </w:r>
    </w:p>
    <w:p w:rsidR="00AB2A87" w:rsidRDefault="00AB2A87" w:rsidP="009714B9">
      <w:pPr>
        <w:pStyle w:val="Bullets"/>
      </w:pPr>
      <w:r>
        <w:t>Dr Glenda Bishop – Research Centre Administrator</w:t>
      </w:r>
    </w:p>
    <w:p w:rsidR="00AB2A87" w:rsidRDefault="00AB2A87" w:rsidP="009714B9">
      <w:pPr>
        <w:pStyle w:val="Bullets"/>
      </w:pPr>
      <w:r>
        <w:t>Megan Topping – Doctoral Researcher</w:t>
      </w:r>
    </w:p>
    <w:p w:rsidR="00AB2A87" w:rsidRDefault="00AB2A87" w:rsidP="009714B9">
      <w:pPr>
        <w:pStyle w:val="Bullets"/>
      </w:pPr>
      <w:r>
        <w:t xml:space="preserve">Dr Rebecca </w:t>
      </w:r>
      <w:proofErr w:type="spellStart"/>
      <w:r>
        <w:t>Jamwal</w:t>
      </w:r>
      <w:proofErr w:type="spellEnd"/>
      <w:r>
        <w:t xml:space="preserve"> – Research Fellow</w:t>
      </w:r>
    </w:p>
    <w:p w:rsidR="00AB2A87" w:rsidRDefault="00AB2A87" w:rsidP="009714B9">
      <w:pPr>
        <w:pStyle w:val="Bullets"/>
      </w:pPr>
      <w:r>
        <w:t>Dr Mark Brown – Research Fellow</w:t>
      </w:r>
    </w:p>
    <w:p w:rsidR="00AB2A87" w:rsidRDefault="00AB2A87" w:rsidP="009714B9">
      <w:pPr>
        <w:pStyle w:val="Bullets"/>
      </w:pPr>
      <w:r>
        <w:t>Dr Stacey Oliver – Research Assistant</w:t>
      </w:r>
    </w:p>
    <w:p w:rsidR="00AB2A87" w:rsidRDefault="00AB2A87" w:rsidP="009714B9">
      <w:pPr>
        <w:pStyle w:val="Bullets"/>
      </w:pPr>
      <w:r>
        <w:t>Jacqui Naismith – Research Assistant</w:t>
      </w:r>
    </w:p>
    <w:p w:rsidR="00AB2A87" w:rsidRDefault="00AB2A87" w:rsidP="009714B9">
      <w:pPr>
        <w:pStyle w:val="Bullets"/>
      </w:pPr>
      <w:r>
        <w:t xml:space="preserve">Emily </w:t>
      </w:r>
      <w:proofErr w:type="spellStart"/>
      <w:r>
        <w:t>Gosden</w:t>
      </w:r>
      <w:proofErr w:type="spellEnd"/>
      <w:r>
        <w:t>-Kaye – Research Assistant</w:t>
      </w:r>
    </w:p>
    <w:p w:rsidR="007351F1" w:rsidRDefault="00AB2A87" w:rsidP="009714B9">
      <w:pPr>
        <w:pStyle w:val="Bullets"/>
      </w:pPr>
      <w:r>
        <w:t xml:space="preserve">Hannah </w:t>
      </w:r>
      <w:proofErr w:type="spellStart"/>
      <w:r>
        <w:t>Jarman</w:t>
      </w:r>
      <w:proofErr w:type="spellEnd"/>
      <w:r>
        <w:t xml:space="preserve"> – Research Assistant</w:t>
      </w:r>
    </w:p>
    <w:p w:rsidR="00673BEC" w:rsidRPr="00673BEC" w:rsidRDefault="00673BEC" w:rsidP="009714B9">
      <w:pPr>
        <w:pStyle w:val="Bullets"/>
        <w:rPr>
          <w:lang w:val="en-US"/>
        </w:rPr>
      </w:pPr>
      <w:r w:rsidRPr="00673BEC">
        <w:rPr>
          <w:lang w:val="en-US"/>
        </w:rPr>
        <w:t>Anna Ewen – Research Assistant</w:t>
      </w:r>
    </w:p>
    <w:p w:rsidR="00673BEC" w:rsidRDefault="00673BEC" w:rsidP="009714B9">
      <w:pPr>
        <w:pStyle w:val="BUlletslast"/>
      </w:pPr>
      <w:r w:rsidRPr="00673BEC">
        <w:t>Natalie Rinehart – Data Scientist</w:t>
      </w:r>
    </w:p>
    <w:p w:rsidR="00AB2A87" w:rsidRDefault="00AB2A87" w:rsidP="00673BEC">
      <w:pPr>
        <w:pStyle w:val="Heading3"/>
        <w:spacing w:line="228" w:lineRule="auto"/>
      </w:pPr>
      <w:r>
        <w:t>Policy</w:t>
      </w:r>
    </w:p>
    <w:p w:rsidR="00AB2A87" w:rsidRDefault="00AB2A87" w:rsidP="00673BEC">
      <w:pPr>
        <w:spacing w:line="228" w:lineRule="auto"/>
      </w:pPr>
      <w:r>
        <w:t>Help other people to understand the problem of young people in aged care and change decisions of government.</w:t>
      </w:r>
    </w:p>
    <w:p w:rsidR="00AB2A87" w:rsidRDefault="00AB2A87" w:rsidP="009714B9">
      <w:pPr>
        <w:pStyle w:val="Bullets"/>
      </w:pPr>
      <w:r>
        <w:t xml:space="preserve">Dr George </w:t>
      </w:r>
      <w:proofErr w:type="spellStart"/>
      <w:r>
        <w:t>Taleporos</w:t>
      </w:r>
      <w:proofErr w:type="spellEnd"/>
      <w:r>
        <w:t xml:space="preserve"> – Policy Manager</w:t>
      </w:r>
    </w:p>
    <w:p w:rsidR="00AB2A87" w:rsidRDefault="00AB2A87" w:rsidP="009714B9">
      <w:pPr>
        <w:pStyle w:val="Bullets"/>
      </w:pPr>
      <w:r>
        <w:t xml:space="preserve">Robin </w:t>
      </w:r>
      <w:proofErr w:type="spellStart"/>
      <w:r>
        <w:t>Zakharov</w:t>
      </w:r>
      <w:proofErr w:type="spellEnd"/>
      <w:r>
        <w:t xml:space="preserve"> – Senior Policy Advisor</w:t>
      </w:r>
    </w:p>
    <w:p w:rsidR="00AB2A87" w:rsidRDefault="00AB2A87" w:rsidP="009714B9">
      <w:pPr>
        <w:pStyle w:val="Bullets"/>
      </w:pPr>
      <w:r>
        <w:t>Penny Paul – Senior Policy &amp; Research Officer</w:t>
      </w:r>
    </w:p>
    <w:p w:rsidR="00AB2A87" w:rsidRDefault="00AB2A87" w:rsidP="009714B9">
      <w:pPr>
        <w:pStyle w:val="Bullets"/>
      </w:pPr>
      <w:r>
        <w:t>Rosalyn Roberts – Policy Research Officer</w:t>
      </w:r>
    </w:p>
    <w:p w:rsidR="00AB2A87" w:rsidRDefault="00AB2A87" w:rsidP="009714B9">
      <w:pPr>
        <w:pStyle w:val="BUlletslast"/>
      </w:pPr>
      <w:r>
        <w:t xml:space="preserve">Helen </w:t>
      </w:r>
      <w:proofErr w:type="spellStart"/>
      <w:r>
        <w:t>Jeisman</w:t>
      </w:r>
      <w:proofErr w:type="spellEnd"/>
      <w:r>
        <w:t xml:space="preserve"> – Projects Support Officer</w:t>
      </w:r>
    </w:p>
    <w:p w:rsidR="00AB2A87" w:rsidRDefault="00AB2A87" w:rsidP="00673BEC">
      <w:pPr>
        <w:pStyle w:val="Heading3"/>
        <w:spacing w:line="228" w:lineRule="auto"/>
      </w:pPr>
      <w:r>
        <w:t>Practice</w:t>
      </w:r>
    </w:p>
    <w:p w:rsidR="00AB2A87" w:rsidRDefault="00AB2A87" w:rsidP="00673BEC">
      <w:pPr>
        <w:spacing w:line="228" w:lineRule="auto"/>
      </w:pPr>
      <w:r>
        <w:t>Help hospitals, aged care and the NDIS work better together.</w:t>
      </w:r>
    </w:p>
    <w:p w:rsidR="00AB2A87" w:rsidRDefault="00AB2A87" w:rsidP="009714B9">
      <w:pPr>
        <w:pStyle w:val="Bullets"/>
      </w:pPr>
      <w:r>
        <w:t xml:space="preserve">Tom </w:t>
      </w:r>
      <w:proofErr w:type="spellStart"/>
      <w:r>
        <w:t>Worsnop</w:t>
      </w:r>
      <w:proofErr w:type="spellEnd"/>
      <w:r>
        <w:t xml:space="preserve"> – Executive Manager – Practice</w:t>
      </w:r>
    </w:p>
    <w:p w:rsidR="00AB2A87" w:rsidRDefault="00AB2A87" w:rsidP="009714B9">
      <w:pPr>
        <w:pStyle w:val="Bullets"/>
      </w:pPr>
      <w:r>
        <w:t>Joy Campbell – Executive Support/Information Officer</w:t>
      </w:r>
    </w:p>
    <w:p w:rsidR="00AB2A87" w:rsidRDefault="00AB2A87" w:rsidP="009714B9">
      <w:pPr>
        <w:pStyle w:val="Bullets"/>
      </w:pPr>
      <w:r>
        <w:t>Zoe Shearer – Practice Team Leader</w:t>
      </w:r>
    </w:p>
    <w:p w:rsidR="00AB2A87" w:rsidRDefault="00AB2A87" w:rsidP="009714B9">
      <w:pPr>
        <w:pStyle w:val="Bullets"/>
      </w:pPr>
      <w:r>
        <w:t xml:space="preserve">Cathy </w:t>
      </w:r>
      <w:proofErr w:type="spellStart"/>
      <w:r>
        <w:t>Bucolo</w:t>
      </w:r>
      <w:proofErr w:type="spellEnd"/>
      <w:r>
        <w:t xml:space="preserve"> – Clinical Practice Leader</w:t>
      </w:r>
    </w:p>
    <w:p w:rsidR="00AB2A87" w:rsidRDefault="00AB2A87" w:rsidP="009714B9">
      <w:pPr>
        <w:pStyle w:val="Bullets"/>
      </w:pPr>
      <w:r>
        <w:t xml:space="preserve">Virginia </w:t>
      </w:r>
      <w:proofErr w:type="spellStart"/>
      <w:r>
        <w:t>Mitsch</w:t>
      </w:r>
      <w:proofErr w:type="spellEnd"/>
      <w:r>
        <w:t xml:space="preserve"> – Hospital Discharge Lead</w:t>
      </w:r>
    </w:p>
    <w:p w:rsidR="00AB2A87" w:rsidRDefault="00AB2A87" w:rsidP="009714B9">
      <w:pPr>
        <w:pStyle w:val="Bullets"/>
      </w:pPr>
      <w:r>
        <w:t>Andrea Lockwood – Practice Coordinator</w:t>
      </w:r>
    </w:p>
    <w:p w:rsidR="00AB2A87" w:rsidRDefault="00AB2A87" w:rsidP="009714B9">
      <w:pPr>
        <w:pStyle w:val="Bullets"/>
      </w:pPr>
      <w:r>
        <w:t>Joanna Stewart – Practice Coordinator</w:t>
      </w:r>
    </w:p>
    <w:p w:rsidR="00AB2A87" w:rsidRDefault="00AB2A87" w:rsidP="009714B9">
      <w:pPr>
        <w:pStyle w:val="Bullets"/>
      </w:pPr>
      <w:r>
        <w:t>Gill Hilton – NDIS &amp; Health Interface Specialist</w:t>
      </w:r>
    </w:p>
    <w:p w:rsidR="00AB2A87" w:rsidRDefault="00AB2A87" w:rsidP="009714B9">
      <w:pPr>
        <w:pStyle w:val="BUlletslast"/>
      </w:pPr>
      <w:r>
        <w:t xml:space="preserve">Michelle </w:t>
      </w:r>
      <w:proofErr w:type="spellStart"/>
      <w:r>
        <w:t>Bult</w:t>
      </w:r>
      <w:proofErr w:type="spellEnd"/>
      <w:r>
        <w:t xml:space="preserve"> – Health Engagement Lead</w:t>
      </w:r>
    </w:p>
    <w:p w:rsidR="00AB2A87" w:rsidRDefault="00AB2A87" w:rsidP="00AB2A87">
      <w:pPr>
        <w:pStyle w:val="Heading3"/>
      </w:pPr>
      <w:r>
        <w:lastRenderedPageBreak/>
        <w:t>Housing Matching</w:t>
      </w:r>
    </w:p>
    <w:p w:rsidR="00AB2A87" w:rsidRDefault="00AB2A87" w:rsidP="00AB2A87">
      <w:r>
        <w:t>Provide services to help people with disability to find suitable housing.</w:t>
      </w:r>
    </w:p>
    <w:p w:rsidR="00AB2A87" w:rsidRDefault="00AB2A87" w:rsidP="009714B9">
      <w:pPr>
        <w:pStyle w:val="Bullets"/>
      </w:pPr>
      <w:r>
        <w:t>Alecia Rathbone – General Manager, Housing Matching</w:t>
      </w:r>
    </w:p>
    <w:p w:rsidR="00AB2A87" w:rsidRDefault="00AB2A87" w:rsidP="009714B9">
      <w:pPr>
        <w:pStyle w:val="Bullets"/>
      </w:pPr>
      <w:r>
        <w:t xml:space="preserve">Jessie Lewis – Operations Coordinator </w:t>
      </w:r>
    </w:p>
    <w:p w:rsidR="00AB2A87" w:rsidRDefault="00AB2A87" w:rsidP="009714B9">
      <w:pPr>
        <w:pStyle w:val="Bullets"/>
      </w:pPr>
      <w:r>
        <w:t xml:space="preserve">Joanne </w:t>
      </w:r>
      <w:proofErr w:type="spellStart"/>
      <w:r>
        <w:t>Mear</w:t>
      </w:r>
      <w:proofErr w:type="spellEnd"/>
      <w:r>
        <w:t xml:space="preserve"> – Business Manager</w:t>
      </w:r>
    </w:p>
    <w:p w:rsidR="00AB2A87" w:rsidRDefault="00AB2A87" w:rsidP="009714B9">
      <w:pPr>
        <w:pStyle w:val="Bullets"/>
      </w:pPr>
      <w:r>
        <w:t xml:space="preserve">Vanessa Lui – National Tenancy Matching Manager </w:t>
      </w:r>
    </w:p>
    <w:p w:rsidR="00AB2A87" w:rsidRDefault="00AB2A87" w:rsidP="009714B9">
      <w:pPr>
        <w:pStyle w:val="Bullets"/>
      </w:pPr>
      <w:r>
        <w:t>Libby Ellis – Person Centred Content Coordinator</w:t>
      </w:r>
    </w:p>
    <w:p w:rsidR="00AB2A87" w:rsidRDefault="00AB2A87" w:rsidP="009714B9">
      <w:pPr>
        <w:pStyle w:val="Bullets"/>
      </w:pPr>
      <w:proofErr w:type="spellStart"/>
      <w:r>
        <w:t>Mishele</w:t>
      </w:r>
      <w:proofErr w:type="spellEnd"/>
      <w:r>
        <w:t xml:space="preserve"> Cavanagh-Downs – Housing Engagement Manager</w:t>
      </w:r>
    </w:p>
    <w:p w:rsidR="00AB2A87" w:rsidRDefault="00AB2A87" w:rsidP="009714B9">
      <w:pPr>
        <w:pStyle w:val="Bullets"/>
      </w:pPr>
      <w:r>
        <w:t>Olga Elia – Engagement Coordinator</w:t>
      </w:r>
    </w:p>
    <w:p w:rsidR="00AB2A87" w:rsidRDefault="00AB2A87" w:rsidP="009714B9">
      <w:pPr>
        <w:pStyle w:val="Bullets"/>
      </w:pPr>
      <w:r>
        <w:t>Sophie Moore – Engagement Coordinator</w:t>
      </w:r>
    </w:p>
    <w:p w:rsidR="00AB2A87" w:rsidRDefault="00AB2A87" w:rsidP="009714B9">
      <w:pPr>
        <w:pStyle w:val="Bullets"/>
      </w:pPr>
      <w:r>
        <w:t xml:space="preserve">Megan </w:t>
      </w:r>
      <w:proofErr w:type="spellStart"/>
      <w:r>
        <w:t>MIles</w:t>
      </w:r>
      <w:proofErr w:type="spellEnd"/>
      <w:r>
        <w:t xml:space="preserve"> – Reporting Coordinator</w:t>
      </w:r>
    </w:p>
    <w:p w:rsidR="00AB2A87" w:rsidRDefault="00AB2A87" w:rsidP="009714B9">
      <w:pPr>
        <w:pStyle w:val="Bullets"/>
      </w:pPr>
      <w:r>
        <w:t>Emma Newby – Reporting/Project Coordinator</w:t>
      </w:r>
    </w:p>
    <w:p w:rsidR="00AB2A87" w:rsidRDefault="00AB2A87" w:rsidP="009714B9">
      <w:pPr>
        <w:pStyle w:val="Bullets"/>
      </w:pPr>
      <w:r>
        <w:t>Jean Tiller – Housing Matching Manager</w:t>
      </w:r>
    </w:p>
    <w:p w:rsidR="00AB2A87" w:rsidRDefault="00AB2A87" w:rsidP="009714B9">
      <w:pPr>
        <w:pStyle w:val="Bullets"/>
      </w:pPr>
      <w:r>
        <w:t>Melody Carbarns – Housing Matching Manager VIC</w:t>
      </w:r>
    </w:p>
    <w:p w:rsidR="00AB2A87" w:rsidRDefault="00AB2A87" w:rsidP="009714B9">
      <w:pPr>
        <w:pStyle w:val="Bullets"/>
      </w:pPr>
      <w:r>
        <w:t>Alison Burgess – Project Coordinator QLD</w:t>
      </w:r>
    </w:p>
    <w:p w:rsidR="00AB2A87" w:rsidRDefault="00AB2A87" w:rsidP="009714B9">
      <w:pPr>
        <w:pStyle w:val="Bullets"/>
      </w:pPr>
      <w:r>
        <w:t xml:space="preserve">Jessica </w:t>
      </w:r>
      <w:proofErr w:type="spellStart"/>
      <w:r>
        <w:t>Rixon</w:t>
      </w:r>
      <w:proofErr w:type="spellEnd"/>
      <w:r>
        <w:t xml:space="preserve"> – Project Coordinator Newcastle</w:t>
      </w:r>
    </w:p>
    <w:p w:rsidR="00AB2A87" w:rsidRDefault="00AB2A87" w:rsidP="009714B9">
      <w:pPr>
        <w:pStyle w:val="Bullets"/>
      </w:pPr>
      <w:r>
        <w:t>Jennifer Merriman – Project Coordinator ACT</w:t>
      </w:r>
    </w:p>
    <w:p w:rsidR="00AB2A87" w:rsidRDefault="00AB2A87" w:rsidP="009714B9">
      <w:pPr>
        <w:pStyle w:val="Bullets"/>
      </w:pPr>
      <w:r>
        <w:t xml:space="preserve">Maria </w:t>
      </w:r>
      <w:proofErr w:type="spellStart"/>
      <w:r>
        <w:t>Ellensohn</w:t>
      </w:r>
      <w:proofErr w:type="spellEnd"/>
      <w:r>
        <w:t xml:space="preserve"> – Project Coordinator NSW</w:t>
      </w:r>
    </w:p>
    <w:p w:rsidR="00AB2A87" w:rsidRDefault="00AB2A87" w:rsidP="009714B9">
      <w:pPr>
        <w:pStyle w:val="Bullets"/>
      </w:pPr>
      <w:r>
        <w:t>Penny Stevenson – Project Coordinator VIC</w:t>
      </w:r>
    </w:p>
    <w:p w:rsidR="00AB2A87" w:rsidRDefault="00AB2A87" w:rsidP="009714B9">
      <w:pPr>
        <w:pStyle w:val="Bullets"/>
      </w:pPr>
      <w:r>
        <w:t>Kelly Aguirre – Housing Matching Coordinator</w:t>
      </w:r>
    </w:p>
    <w:p w:rsidR="00AB2A87" w:rsidRDefault="00AB2A87" w:rsidP="009714B9">
      <w:pPr>
        <w:pStyle w:val="Bullets"/>
      </w:pPr>
      <w:r>
        <w:t>Simone Burley – Project Coordinator – Person Led Housing Solution</w:t>
      </w:r>
    </w:p>
    <w:p w:rsidR="00AB2A87" w:rsidRDefault="00AB2A87" w:rsidP="009714B9">
      <w:pPr>
        <w:pStyle w:val="Bullets"/>
      </w:pPr>
      <w:r>
        <w:t xml:space="preserve">Leah </w:t>
      </w:r>
      <w:proofErr w:type="spellStart"/>
      <w:r>
        <w:t>Jeskie</w:t>
      </w:r>
      <w:proofErr w:type="spellEnd"/>
      <w:r>
        <w:t xml:space="preserve"> – Information &amp; Lived Experience Facilitator</w:t>
      </w:r>
    </w:p>
    <w:p w:rsidR="00AB2A87" w:rsidRDefault="00AB2A87" w:rsidP="009714B9">
      <w:pPr>
        <w:pStyle w:val="BUlletslast"/>
      </w:pPr>
      <w:r>
        <w:t>Syed Hague – IT Admin &amp; Website Support</w:t>
      </w:r>
    </w:p>
    <w:p w:rsidR="00AB2A87" w:rsidRDefault="00AB2A87" w:rsidP="00AB2A87">
      <w:pPr>
        <w:pStyle w:val="Heading3"/>
      </w:pPr>
      <w:r>
        <w:t xml:space="preserve">Communications </w:t>
      </w:r>
    </w:p>
    <w:p w:rsidR="00AB2A87" w:rsidRDefault="00AB2A87" w:rsidP="00AB2A87">
      <w:r>
        <w:t>Assist people with disability to tell their stories and understand their options. Make sure everyone has the info they need to stop younger people from going into nursing homes.</w:t>
      </w:r>
    </w:p>
    <w:p w:rsidR="00AB2A87" w:rsidRDefault="00AB2A87" w:rsidP="009714B9">
      <w:pPr>
        <w:pStyle w:val="Bullets"/>
      </w:pPr>
      <w:r>
        <w:t xml:space="preserve">Carolyn </w:t>
      </w:r>
      <w:proofErr w:type="spellStart"/>
      <w:r>
        <w:t>Finis</w:t>
      </w:r>
      <w:proofErr w:type="spellEnd"/>
      <w:r>
        <w:t xml:space="preserve"> – Chief of Staff</w:t>
      </w:r>
    </w:p>
    <w:p w:rsidR="00AB2A87" w:rsidRDefault="00AB2A87" w:rsidP="009714B9">
      <w:pPr>
        <w:pStyle w:val="Bullets"/>
      </w:pPr>
      <w:r>
        <w:t>Natasha Hendricks – Executive Assistant</w:t>
      </w:r>
    </w:p>
    <w:p w:rsidR="00AB2A87" w:rsidRDefault="00AB2A87" w:rsidP="009714B9">
      <w:pPr>
        <w:pStyle w:val="Bullets"/>
      </w:pPr>
      <w:r>
        <w:t xml:space="preserve">Vince Patton – Communications Strategist </w:t>
      </w:r>
    </w:p>
    <w:p w:rsidR="00AB2A87" w:rsidRDefault="00AB2A87" w:rsidP="009714B9">
      <w:pPr>
        <w:pStyle w:val="Bullets"/>
      </w:pPr>
      <w:r>
        <w:t xml:space="preserve">Antony Brown – Graphic Designer/Projects Coordinator </w:t>
      </w:r>
    </w:p>
    <w:p w:rsidR="00AB2A87" w:rsidRDefault="00AB2A87" w:rsidP="009714B9">
      <w:pPr>
        <w:pStyle w:val="Bullets"/>
      </w:pPr>
      <w:r>
        <w:t xml:space="preserve">Monique de Costa – Storytelling Manager </w:t>
      </w:r>
    </w:p>
    <w:p w:rsidR="00AB2A87" w:rsidRDefault="00AB2A87" w:rsidP="009714B9">
      <w:pPr>
        <w:pStyle w:val="Bullets"/>
      </w:pPr>
      <w:r>
        <w:t>Jocelyn Geary – Impact &amp; Partnerships Manager</w:t>
      </w:r>
    </w:p>
    <w:p w:rsidR="00AB2A87" w:rsidRDefault="00AB2A87" w:rsidP="009714B9">
      <w:pPr>
        <w:pStyle w:val="Bullets"/>
      </w:pPr>
      <w:r>
        <w:t>Alana Dobra – Event Coordinator</w:t>
      </w:r>
    </w:p>
    <w:p w:rsidR="00AB2A87" w:rsidRDefault="00AB2A87" w:rsidP="009714B9">
      <w:pPr>
        <w:pStyle w:val="Bullets"/>
      </w:pPr>
      <w:r>
        <w:t>Gina Fall – Storytelling Program Officer</w:t>
      </w:r>
    </w:p>
    <w:p w:rsidR="00AB2A87" w:rsidRDefault="00AB2A87" w:rsidP="009714B9">
      <w:pPr>
        <w:pStyle w:val="Bullets"/>
      </w:pPr>
      <w:r>
        <w:t xml:space="preserve">Jodie </w:t>
      </w:r>
      <w:proofErr w:type="spellStart"/>
      <w:r>
        <w:t>Gallacher</w:t>
      </w:r>
      <w:proofErr w:type="spellEnd"/>
      <w:r>
        <w:t xml:space="preserve"> – Digital Editor</w:t>
      </w:r>
    </w:p>
    <w:p w:rsidR="009714B9" w:rsidRDefault="009714B9" w:rsidP="009714B9">
      <w:bookmarkStart w:id="0" w:name="_GoBack"/>
      <w:bookmarkEnd w:id="0"/>
    </w:p>
    <w:p w:rsidR="00AB2A87" w:rsidRDefault="00AB2A87" w:rsidP="009714B9">
      <w:pPr>
        <w:pStyle w:val="Bullets"/>
      </w:pPr>
      <w:r>
        <w:lastRenderedPageBreak/>
        <w:t>Marcus Oliver – Finished Artist</w:t>
      </w:r>
    </w:p>
    <w:p w:rsidR="00AB2A87" w:rsidRDefault="00AB2A87" w:rsidP="009714B9">
      <w:pPr>
        <w:pStyle w:val="Bullets"/>
      </w:pPr>
      <w:r>
        <w:t>Collette Beck – Content Editor</w:t>
      </w:r>
    </w:p>
    <w:p w:rsidR="00AB2A87" w:rsidRDefault="00AB2A87" w:rsidP="009714B9">
      <w:pPr>
        <w:pStyle w:val="BUlletslast"/>
      </w:pPr>
      <w:r>
        <w:t>Tricia Quirk – Content Editor</w:t>
      </w:r>
    </w:p>
    <w:p w:rsidR="00AB2A87" w:rsidRDefault="00AB2A87" w:rsidP="00AB2A87">
      <w:pPr>
        <w:pStyle w:val="Heading3"/>
      </w:pPr>
      <w:r>
        <w:t>Operations</w:t>
      </w:r>
    </w:p>
    <w:p w:rsidR="00AB2A87" w:rsidRDefault="00AB2A87" w:rsidP="00AB2A87">
      <w:r>
        <w:t>Make sure that the Summer Foundation works well.</w:t>
      </w:r>
    </w:p>
    <w:p w:rsidR="00AB2A87" w:rsidRDefault="00AB2A87" w:rsidP="009714B9">
      <w:pPr>
        <w:pStyle w:val="Bullets"/>
      </w:pPr>
      <w:r>
        <w:t>Susi Hammond – Chief Finance &amp; Operations Officer</w:t>
      </w:r>
    </w:p>
    <w:p w:rsidR="00AB2A87" w:rsidRDefault="00AB2A87" w:rsidP="009714B9">
      <w:pPr>
        <w:pStyle w:val="Bullets"/>
      </w:pPr>
      <w:r>
        <w:t>Jessica Simms – Executive Assistant, Human Resources &amp; Accounts Assistant</w:t>
      </w:r>
    </w:p>
    <w:p w:rsidR="00AB2A87" w:rsidRDefault="00AB2A87" w:rsidP="009714B9">
      <w:pPr>
        <w:pStyle w:val="Bullets"/>
      </w:pPr>
      <w:r>
        <w:t>Tim Salter – Finance Manager</w:t>
      </w:r>
    </w:p>
    <w:p w:rsidR="00AB2A87" w:rsidRDefault="00AB2A87" w:rsidP="009714B9">
      <w:pPr>
        <w:pStyle w:val="Bullets"/>
      </w:pPr>
      <w:r>
        <w:t>Stephanie Press – Finance Coordinator</w:t>
      </w:r>
    </w:p>
    <w:p w:rsidR="00AB2A87" w:rsidRDefault="00AB2A87" w:rsidP="009714B9">
      <w:pPr>
        <w:pStyle w:val="Bullets"/>
      </w:pPr>
      <w:r>
        <w:t>Julie Gibson – Operations Coordinator</w:t>
      </w:r>
    </w:p>
    <w:p w:rsidR="00AB2A87" w:rsidRDefault="00AB2A87" w:rsidP="009714B9">
      <w:pPr>
        <w:pStyle w:val="BUlletslast"/>
      </w:pPr>
      <w:r>
        <w:t xml:space="preserve">Dianne </w:t>
      </w:r>
      <w:proofErr w:type="spellStart"/>
      <w:r>
        <w:t>Trevisan</w:t>
      </w:r>
      <w:proofErr w:type="spellEnd"/>
      <w:r>
        <w:t xml:space="preserve"> – Receptionist</w:t>
      </w:r>
    </w:p>
    <w:p w:rsidR="00AB2A87" w:rsidRDefault="00AB2A87" w:rsidP="00AB2A87">
      <w:pPr>
        <w:pStyle w:val="Heading4"/>
      </w:pPr>
      <w:r>
        <w:t xml:space="preserve">LUKE BO’SHER </w:t>
      </w:r>
    </w:p>
    <w:p w:rsidR="00AB2A87" w:rsidRPr="00AB2A87" w:rsidRDefault="00AB2A87" w:rsidP="00AB2A87">
      <w:pPr>
        <w:rPr>
          <w:b/>
        </w:rPr>
      </w:pPr>
      <w:r w:rsidRPr="00AB2A87">
        <w:rPr>
          <w:b/>
        </w:rPr>
        <w:t>Chief Executive Officer</w:t>
      </w:r>
    </w:p>
    <w:p w:rsidR="00AB2A87" w:rsidRDefault="00AB2A87" w:rsidP="00AC69BF">
      <w:r>
        <w:t>Luke joined the Summer Foundation in 2016 as Head of Policy and Strategy, leading our work to develop housing for people with disability using NDIS funding. Appointed CEO in April 2018, Luke works with government stakeholders to influence policy in relation to young people in aged care.</w:t>
      </w:r>
    </w:p>
    <w:p w:rsidR="00AB2A87" w:rsidRDefault="00AB2A87" w:rsidP="00AB2A87">
      <w:r>
        <w:t>Luke was previously involved in the development of the NDIS as a Director at the National Disability Insurance Agency and advisor at the Department of the Prime Minister and Cabinet.</w:t>
      </w:r>
    </w:p>
    <w:p w:rsidR="00AB2A87" w:rsidRDefault="00AB2A87" w:rsidP="00AB2A87">
      <w:r>
        <w:t>Luke completed a Fulbright Scholarship and Master of Public Administration at New York University.</w:t>
      </w:r>
    </w:p>
    <w:p w:rsidR="00AB2A87" w:rsidRDefault="00AB2A87" w:rsidP="00AB2A87">
      <w:pPr>
        <w:rPr>
          <w:spacing w:val="4"/>
        </w:rPr>
      </w:pPr>
      <w:r>
        <w:rPr>
          <w:spacing w:val="4"/>
        </w:rPr>
        <w:t xml:space="preserve">We also would like to acknowledge the following staff who concluded (or took leave from) their employment in 2018–19: Anna </w:t>
      </w:r>
      <w:proofErr w:type="spellStart"/>
      <w:r>
        <w:rPr>
          <w:spacing w:val="4"/>
        </w:rPr>
        <w:t>Fragkoud</w:t>
      </w:r>
      <w:proofErr w:type="spellEnd"/>
      <w:r>
        <w:rPr>
          <w:spacing w:val="4"/>
        </w:rPr>
        <w:t xml:space="preserve">, Damian Grant, </w:t>
      </w:r>
      <w:proofErr w:type="spellStart"/>
      <w:r>
        <w:rPr>
          <w:spacing w:val="4"/>
        </w:rPr>
        <w:t>Dayanna</w:t>
      </w:r>
      <w:proofErr w:type="spellEnd"/>
      <w:r>
        <w:rPr>
          <w:spacing w:val="4"/>
        </w:rPr>
        <w:t xml:space="preserve"> Torres, Elizabeth McFarlin, Joanna Middleton, Joshua </w:t>
      </w:r>
      <w:proofErr w:type="spellStart"/>
      <w:r>
        <w:rPr>
          <w:spacing w:val="4"/>
        </w:rPr>
        <w:t>Zail</w:t>
      </w:r>
      <w:proofErr w:type="spellEnd"/>
      <w:r>
        <w:rPr>
          <w:spacing w:val="4"/>
        </w:rPr>
        <w:t>, Julie Robertson, Karen Chapman, Karina Grift, Kirsten Larwill, Louise Dixon, Natalie Butler, Sharon Jenkins and Toni Rowe.</w:t>
      </w:r>
    </w:p>
    <w:p w:rsidR="00AB2A87" w:rsidRDefault="00AB2A87">
      <w:pPr>
        <w:spacing w:after="0" w:line="240" w:lineRule="auto"/>
        <w:rPr>
          <w:spacing w:val="4"/>
        </w:rPr>
      </w:pPr>
      <w:r>
        <w:rPr>
          <w:spacing w:val="4"/>
        </w:rPr>
        <w:br w:type="page"/>
      </w:r>
    </w:p>
    <w:p w:rsidR="00AB2A87" w:rsidRPr="00AB2A87" w:rsidRDefault="00AB2A87" w:rsidP="00AB2A87">
      <w:pPr>
        <w:pStyle w:val="TitleBox"/>
      </w:pPr>
      <w:r w:rsidRPr="00AB2A87">
        <w:lastRenderedPageBreak/>
        <w:t>H</w:t>
      </w:r>
      <w:r>
        <w:t>ighlights</w:t>
      </w:r>
    </w:p>
    <w:p w:rsidR="00AC69BF" w:rsidRDefault="00C06E69" w:rsidP="00AC69BF">
      <w:pPr>
        <w:pStyle w:val="Heading1"/>
        <w:rPr>
          <w:w w:val="98"/>
        </w:rPr>
      </w:pPr>
      <w:r>
        <w:rPr>
          <w:w w:val="98"/>
        </w:rPr>
        <w:t>AGED CARE ROYAL COMMISSION</w:t>
      </w:r>
    </w:p>
    <w:p w:rsidR="00AC69BF" w:rsidRDefault="00AC69BF" w:rsidP="00AC69BF">
      <w:pPr>
        <w:pStyle w:val="Heading4"/>
      </w:pPr>
      <w:r>
        <w:t>The Summer Foundation welcomed the Aged Care Royal Commission when it was announced by Prime Minister Scott Morrison in September 2018.</w:t>
      </w:r>
    </w:p>
    <w:p w:rsidR="00AC69BF" w:rsidRDefault="00AC69BF" w:rsidP="00AC69BF">
      <w:r>
        <w:br/>
        <w:t>We were really pleased that the issue of young people in residential aged care was identified as a high priority for the Royal Commission.</w:t>
      </w:r>
    </w:p>
    <w:p w:rsidR="00AC69BF" w:rsidRDefault="00AC69BF" w:rsidP="00AC69BF">
      <w:pPr>
        <w:rPr>
          <w:spacing w:val="5"/>
        </w:rPr>
      </w:pPr>
      <w:r>
        <w:rPr>
          <w:spacing w:val="5"/>
        </w:rPr>
        <w:t>Aged care is no place for young people and the Royal Commission should focus on ensuring the disability, health and housing systems deliver alternatives that will keep young people with disability out of nursing homes.</w:t>
      </w:r>
    </w:p>
    <w:p w:rsidR="00AC69BF" w:rsidRDefault="00AC69BF" w:rsidP="00AC69BF">
      <w:r>
        <w:t xml:space="preserve">Nothing can make aged care the best place for young people. Instead, society should give young people better options to avoid aged care. The Royal Commission has a chance to bring about a solution to this complex problem. </w:t>
      </w:r>
    </w:p>
    <w:p w:rsidR="00AC69BF" w:rsidRDefault="00AC69BF" w:rsidP="00AC69BF">
      <w:r>
        <w:t xml:space="preserve">Giving young people with disability a voice at the Royal Commission has been very important to us. </w:t>
      </w:r>
    </w:p>
    <w:p w:rsidR="00AC69BF" w:rsidRDefault="00AC69BF" w:rsidP="00AC69BF">
      <w:r>
        <w:t>Under the banner of #</w:t>
      </w:r>
      <w:proofErr w:type="spellStart"/>
      <w:r>
        <w:t>everystorymatters</w:t>
      </w:r>
      <w:proofErr w:type="spellEnd"/>
      <w:r>
        <w:t xml:space="preserve">, and with support from the Royal Commission, we held 18 workshops in major cities and regional areas across Australia. Through the workshops we supported 100 people to make their submissions to the </w:t>
      </w:r>
      <w:proofErr w:type="spellStart"/>
      <w:r>
        <w:t>Commission.Many</w:t>
      </w:r>
      <w:proofErr w:type="spellEnd"/>
      <w:r>
        <w:t xml:space="preserve"> of them said they would never have told their stories without the support they got at our workshops.</w:t>
      </w:r>
    </w:p>
    <w:p w:rsidR="00AC69BF" w:rsidRDefault="00AC69BF" w:rsidP="00AC69BF">
      <w:r>
        <w:t>We also supported 5 people to speak directly to the commissioners at public forums in Bendigo and West Melbourne.</w:t>
      </w:r>
    </w:p>
    <w:p w:rsidR="00F457E5" w:rsidRDefault="00AC69BF" w:rsidP="00AC69BF">
      <w:r>
        <w:t xml:space="preserve">The Summer Foundation will also make its own submission to the Commission. It will talk about the key policy and systemic changes needed to help young people with disability to find alternative, age-appropriate housing and to halve the number of younger people entering aged care. </w:t>
      </w:r>
    </w:p>
    <w:p w:rsidR="00AC69BF" w:rsidRDefault="00AC69BF" w:rsidP="00AC69BF">
      <w:r>
        <w:t>The submission will be based on our ongoing work with providers in the health and aged care sectors, but particularly on information that was shared by people at the workshops. These are the people whose stories illustrate the realities of living in aged care. It is important for the Royal Commission to hear their stories.</w:t>
      </w:r>
    </w:p>
    <w:p w:rsidR="00AC69BF" w:rsidRDefault="00AC69BF">
      <w:pPr>
        <w:spacing w:after="0" w:line="240" w:lineRule="auto"/>
      </w:pPr>
      <w:r>
        <w:br w:type="page"/>
      </w:r>
    </w:p>
    <w:p w:rsidR="00AC69BF" w:rsidRDefault="00AC69BF" w:rsidP="00F945B2">
      <w:pPr>
        <w:pStyle w:val="Heading2"/>
        <w:spacing w:line="240" w:lineRule="auto"/>
        <w:rPr>
          <w:lang w:val="en-US"/>
        </w:rPr>
      </w:pPr>
      <w:r>
        <w:rPr>
          <w:lang w:val="en-US"/>
        </w:rPr>
        <w:lastRenderedPageBreak/>
        <w:t>VICKI WILKINSON</w:t>
      </w:r>
    </w:p>
    <w:p w:rsidR="00AC69BF" w:rsidRDefault="00AC69BF" w:rsidP="00F945B2">
      <w:pPr>
        <w:spacing w:line="240" w:lineRule="auto"/>
        <w:rPr>
          <w:b/>
          <w:color w:val="000000"/>
          <w:szCs w:val="21"/>
          <w:lang w:val="en-US"/>
        </w:rPr>
      </w:pPr>
      <w:r w:rsidRPr="00AC69BF">
        <w:rPr>
          <w:b/>
          <w:color w:val="000000"/>
          <w:szCs w:val="21"/>
          <w:lang w:val="en-US"/>
        </w:rPr>
        <w:t xml:space="preserve">who is in her late 40s, lived in aged care for 4 </w:t>
      </w:r>
      <w:proofErr w:type="gramStart"/>
      <w:r w:rsidRPr="00AC69BF">
        <w:rPr>
          <w:b/>
          <w:color w:val="000000"/>
          <w:szCs w:val="21"/>
          <w:lang w:val="en-US"/>
        </w:rPr>
        <w:t>years.</w:t>
      </w:r>
      <w:proofErr w:type="gramEnd"/>
    </w:p>
    <w:p w:rsidR="00AC69BF" w:rsidRPr="00AC69BF" w:rsidRDefault="00AC69BF" w:rsidP="00F945B2">
      <w:pPr>
        <w:spacing w:line="240" w:lineRule="auto"/>
        <w:rPr>
          <w:b/>
          <w:color w:val="000000"/>
          <w:szCs w:val="21"/>
          <w:lang w:val="en-US"/>
        </w:rPr>
      </w:pPr>
      <w:r>
        <w:rPr>
          <w:color w:val="000000"/>
          <w:sz w:val="20"/>
          <w:szCs w:val="20"/>
          <w:lang w:val="en-US"/>
        </w:rPr>
        <w:t>Vicki said she still lacks the supports to properly</w:t>
      </w:r>
      <w:r>
        <w:rPr>
          <w:b/>
          <w:color w:val="000000"/>
          <w:szCs w:val="21"/>
          <w:lang w:val="en-US"/>
        </w:rPr>
        <w:t xml:space="preserve"> </w:t>
      </w:r>
      <w:r>
        <w:rPr>
          <w:color w:val="000000"/>
          <w:sz w:val="20"/>
          <w:szCs w:val="20"/>
          <w:lang w:val="en-US"/>
        </w:rPr>
        <w:t>integrate into the community where she is living.</w:t>
      </w:r>
    </w:p>
    <w:p w:rsidR="00AC69BF" w:rsidRDefault="00AC69BF" w:rsidP="00F945B2">
      <w:pPr>
        <w:spacing w:line="240" w:lineRule="auto"/>
        <w:rPr>
          <w:color w:val="000000"/>
          <w:sz w:val="20"/>
          <w:szCs w:val="20"/>
          <w:lang w:val="en-US"/>
        </w:rPr>
      </w:pPr>
      <w:r>
        <w:rPr>
          <w:color w:val="000000"/>
          <w:sz w:val="20"/>
          <w:szCs w:val="20"/>
          <w:lang w:val="en-US"/>
        </w:rPr>
        <w:t>“The issue of young people being forced to live in nursing homes needs to be kept in the forefront of people’s minds. This is a potential human rights issue first and foremost.</w:t>
      </w:r>
    </w:p>
    <w:p w:rsidR="00AC69BF" w:rsidRDefault="00AC69BF" w:rsidP="00F945B2">
      <w:pPr>
        <w:spacing w:line="240" w:lineRule="auto"/>
        <w:rPr>
          <w:color w:val="000000"/>
          <w:sz w:val="20"/>
          <w:szCs w:val="20"/>
          <w:lang w:val="en-US"/>
        </w:rPr>
      </w:pPr>
      <w:r>
        <w:rPr>
          <w:color w:val="000000"/>
          <w:sz w:val="20"/>
          <w:szCs w:val="20"/>
          <w:lang w:val="en-US"/>
        </w:rPr>
        <w:t xml:space="preserve">“Nursing homes for young people take away </w:t>
      </w:r>
      <w:proofErr w:type="spellStart"/>
      <w:r>
        <w:rPr>
          <w:color w:val="000000"/>
          <w:sz w:val="20"/>
          <w:szCs w:val="20"/>
          <w:lang w:val="en-US"/>
        </w:rPr>
        <w:t>your self</w:t>
      </w:r>
      <w:proofErr w:type="spellEnd"/>
      <w:r>
        <w:rPr>
          <w:color w:val="000000"/>
          <w:sz w:val="20"/>
          <w:szCs w:val="20"/>
          <w:lang w:val="en-US"/>
        </w:rPr>
        <w:t xml:space="preserve"> respect, dignity, and leave you where you can’t make a decision.</w:t>
      </w:r>
    </w:p>
    <w:p w:rsidR="00AC69BF" w:rsidRDefault="00AC69BF" w:rsidP="00F945B2">
      <w:pPr>
        <w:spacing w:line="240" w:lineRule="auto"/>
        <w:rPr>
          <w:color w:val="000000"/>
          <w:sz w:val="20"/>
          <w:szCs w:val="20"/>
          <w:lang w:val="en-US"/>
        </w:rPr>
      </w:pPr>
      <w:r>
        <w:rPr>
          <w:color w:val="000000"/>
          <w:sz w:val="20"/>
          <w:szCs w:val="20"/>
          <w:lang w:val="en-US"/>
        </w:rPr>
        <w:t>“Moving into a nursing home tore my family apart. The isolation is really hard on one level, but having choices taken away from you is worse.”</w:t>
      </w:r>
    </w:p>
    <w:p w:rsidR="00AC69BF" w:rsidRPr="00F945B2" w:rsidRDefault="00AC69BF" w:rsidP="00F945B2">
      <w:pPr>
        <w:pStyle w:val="Heading2"/>
        <w:spacing w:line="240" w:lineRule="auto"/>
        <w:rPr>
          <w:lang w:val="en-US"/>
        </w:rPr>
      </w:pPr>
      <w:r w:rsidRPr="00F945B2">
        <w:t>PETER FRENCH</w:t>
      </w:r>
      <w:r w:rsidR="00F945B2">
        <w:rPr>
          <w:lang w:val="en-US"/>
        </w:rPr>
        <w:t xml:space="preserve"> </w:t>
      </w:r>
      <w:r w:rsidR="00F945B2">
        <w:rPr>
          <w:lang w:val="en-US"/>
        </w:rPr>
        <w:br/>
      </w:r>
      <w:r w:rsidR="00F945B2" w:rsidRPr="00F945B2">
        <w:rPr>
          <w:rFonts w:ascii="Helvetica Neue" w:eastAsiaTheme="minorHAnsi" w:hAnsi="Helvetica Neue" w:cstheme="minorBidi"/>
          <w:color w:val="000000"/>
          <w:sz w:val="20"/>
          <w:szCs w:val="20"/>
          <w:lang w:val="en-US"/>
        </w:rPr>
        <w:t>*not his real name</w:t>
      </w:r>
    </w:p>
    <w:p w:rsidR="00AC69BF" w:rsidRDefault="00AC69BF" w:rsidP="00F945B2">
      <w:pPr>
        <w:spacing w:line="240" w:lineRule="auto"/>
        <w:rPr>
          <w:b/>
          <w:color w:val="000000"/>
          <w:szCs w:val="21"/>
          <w:lang w:val="en-US"/>
        </w:rPr>
      </w:pPr>
      <w:r w:rsidRPr="00AC69BF">
        <w:rPr>
          <w:b/>
          <w:color w:val="000000"/>
          <w:szCs w:val="21"/>
          <w:lang w:val="en-US"/>
        </w:rPr>
        <w:t>is 48 and has been in aged care for 2 years.</w:t>
      </w:r>
    </w:p>
    <w:p w:rsidR="00AC69BF" w:rsidRPr="00AC69BF" w:rsidRDefault="00AC69BF" w:rsidP="00F945B2">
      <w:pPr>
        <w:spacing w:line="240" w:lineRule="auto"/>
        <w:rPr>
          <w:b/>
          <w:color w:val="000000"/>
          <w:szCs w:val="21"/>
          <w:lang w:val="en-US"/>
        </w:rPr>
      </w:pPr>
      <w:r>
        <w:rPr>
          <w:color w:val="000000"/>
          <w:sz w:val="20"/>
          <w:szCs w:val="20"/>
          <w:lang w:val="en-US"/>
        </w:rPr>
        <w:t>“Basically, I had to go to [the nursing home]</w:t>
      </w:r>
      <w:r>
        <w:rPr>
          <w:b/>
          <w:color w:val="000000"/>
          <w:szCs w:val="21"/>
          <w:lang w:val="en-US"/>
        </w:rPr>
        <w:t xml:space="preserve"> </w:t>
      </w:r>
      <w:r>
        <w:rPr>
          <w:color w:val="000000"/>
          <w:sz w:val="20"/>
          <w:szCs w:val="20"/>
          <w:lang w:val="en-US"/>
        </w:rPr>
        <w:t>because they couldn’t do the personal care</w:t>
      </w:r>
      <w:r>
        <w:rPr>
          <w:b/>
          <w:color w:val="000000"/>
          <w:szCs w:val="21"/>
          <w:lang w:val="en-US"/>
        </w:rPr>
        <w:t xml:space="preserve"> </w:t>
      </w:r>
      <w:r>
        <w:rPr>
          <w:color w:val="000000"/>
          <w:sz w:val="20"/>
          <w:szCs w:val="20"/>
          <w:lang w:val="en-US"/>
        </w:rPr>
        <w:t>I required at home without modifications to</w:t>
      </w:r>
      <w:r>
        <w:rPr>
          <w:b/>
          <w:color w:val="000000"/>
          <w:szCs w:val="21"/>
          <w:lang w:val="en-US"/>
        </w:rPr>
        <w:t xml:space="preserve"> </w:t>
      </w:r>
      <w:r>
        <w:rPr>
          <w:color w:val="000000"/>
          <w:sz w:val="20"/>
          <w:szCs w:val="20"/>
          <w:lang w:val="en-US"/>
        </w:rPr>
        <w:t>my home, but they couldn’t make the home</w:t>
      </w:r>
      <w:r>
        <w:rPr>
          <w:b/>
          <w:color w:val="000000"/>
          <w:szCs w:val="21"/>
          <w:lang w:val="en-US"/>
        </w:rPr>
        <w:t xml:space="preserve"> </w:t>
      </w:r>
      <w:r>
        <w:rPr>
          <w:color w:val="000000"/>
          <w:sz w:val="20"/>
          <w:szCs w:val="20"/>
          <w:lang w:val="en-US"/>
        </w:rPr>
        <w:t>modifications because it was a private rental.</w:t>
      </w:r>
    </w:p>
    <w:p w:rsidR="00AC69BF" w:rsidRDefault="00AC69BF" w:rsidP="00F945B2">
      <w:pPr>
        <w:spacing w:line="240" w:lineRule="auto"/>
        <w:rPr>
          <w:color w:val="000000"/>
          <w:sz w:val="20"/>
          <w:szCs w:val="20"/>
          <w:lang w:val="en-US"/>
        </w:rPr>
      </w:pPr>
      <w:r>
        <w:rPr>
          <w:color w:val="000000"/>
          <w:sz w:val="20"/>
          <w:szCs w:val="20"/>
          <w:lang w:val="en-US"/>
        </w:rPr>
        <w:t>“Now I’m 48, I’m still the youngest one in the nursing home by a considerable amount. It does your head in there because you’ve got people in there that you speak to and try to become close to, but then they die. People die.</w:t>
      </w:r>
    </w:p>
    <w:p w:rsidR="00AC69BF" w:rsidRDefault="00AC69BF" w:rsidP="00F945B2">
      <w:pPr>
        <w:spacing w:line="240" w:lineRule="auto"/>
        <w:rPr>
          <w:color w:val="000000"/>
          <w:sz w:val="20"/>
          <w:szCs w:val="20"/>
          <w:lang w:val="en-US"/>
        </w:rPr>
      </w:pPr>
      <w:r>
        <w:rPr>
          <w:color w:val="000000"/>
          <w:sz w:val="20"/>
          <w:szCs w:val="20"/>
          <w:lang w:val="en-US"/>
        </w:rPr>
        <w:t>“There’s not a lot for a younger person to do in a nursing home. I’ve got alarms set on my phone... so I don’t nod off and miss lunch or dinner. I’m not into bingo or knitting.”</w:t>
      </w:r>
    </w:p>
    <w:p w:rsidR="00F945B2" w:rsidRDefault="00F945B2" w:rsidP="00F945B2">
      <w:pPr>
        <w:pStyle w:val="Heading2"/>
        <w:spacing w:line="240" w:lineRule="auto"/>
        <w:rPr>
          <w:lang w:val="en-US"/>
        </w:rPr>
      </w:pPr>
      <w:r>
        <w:rPr>
          <w:lang w:val="en-US"/>
        </w:rPr>
        <w:t>ANJ BARKER</w:t>
      </w:r>
    </w:p>
    <w:p w:rsidR="00F945B2" w:rsidRPr="00F945B2" w:rsidRDefault="00F945B2" w:rsidP="00F945B2">
      <w:pPr>
        <w:spacing w:line="240" w:lineRule="auto"/>
        <w:rPr>
          <w:b/>
          <w:color w:val="000000"/>
          <w:szCs w:val="21"/>
          <w:lang w:val="en-US"/>
        </w:rPr>
      </w:pPr>
      <w:r w:rsidRPr="00F945B2">
        <w:rPr>
          <w:b/>
          <w:color w:val="000000"/>
          <w:szCs w:val="21"/>
          <w:lang w:val="en-US"/>
        </w:rPr>
        <w:t>now 33, was 16 when she was brutally bashed to near-death by an ex-boyfriend.</w:t>
      </w:r>
    </w:p>
    <w:p w:rsidR="00F945B2" w:rsidRDefault="00F945B2" w:rsidP="00F945B2">
      <w:pPr>
        <w:spacing w:line="240" w:lineRule="auto"/>
        <w:rPr>
          <w:color w:val="000000"/>
          <w:sz w:val="20"/>
          <w:szCs w:val="20"/>
          <w:lang w:val="en-US"/>
        </w:rPr>
      </w:pPr>
      <w:proofErr w:type="spellStart"/>
      <w:r>
        <w:rPr>
          <w:color w:val="000000"/>
          <w:sz w:val="20"/>
          <w:szCs w:val="20"/>
          <w:lang w:val="en-US"/>
        </w:rPr>
        <w:t>Anj</w:t>
      </w:r>
      <w:proofErr w:type="spellEnd"/>
      <w:r>
        <w:rPr>
          <w:color w:val="000000"/>
          <w:sz w:val="20"/>
          <w:szCs w:val="20"/>
          <w:lang w:val="en-US"/>
        </w:rPr>
        <w:t xml:space="preserve"> lived in aged care for 2ó years before moving back with her family. </w:t>
      </w:r>
      <w:proofErr w:type="spellStart"/>
      <w:r>
        <w:rPr>
          <w:color w:val="000000"/>
          <w:sz w:val="20"/>
          <w:szCs w:val="20"/>
          <w:lang w:val="en-US"/>
        </w:rPr>
        <w:t>Anj</w:t>
      </w:r>
      <w:proofErr w:type="spellEnd"/>
      <w:r>
        <w:rPr>
          <w:color w:val="000000"/>
          <w:sz w:val="20"/>
          <w:szCs w:val="20"/>
          <w:lang w:val="en-US"/>
        </w:rPr>
        <w:t xml:space="preserve"> says without the support from her parents and the generosity of friends and community, she would probably be dead.</w:t>
      </w:r>
    </w:p>
    <w:p w:rsidR="00F945B2" w:rsidRDefault="00F945B2" w:rsidP="00F945B2">
      <w:pPr>
        <w:spacing w:line="240" w:lineRule="auto"/>
        <w:rPr>
          <w:color w:val="000000"/>
          <w:sz w:val="20"/>
          <w:szCs w:val="20"/>
          <w:lang w:val="en-US"/>
        </w:rPr>
      </w:pPr>
      <w:r>
        <w:rPr>
          <w:color w:val="000000"/>
          <w:sz w:val="20"/>
          <w:szCs w:val="20"/>
          <w:lang w:val="en-US"/>
        </w:rPr>
        <w:t>“My friends did want to come and see me, but didn’t because they didn’t want to come and hang out in a nursing home. I felt unloved, unwanted and lonely. It was horrible.”</w:t>
      </w:r>
    </w:p>
    <w:p w:rsidR="00F945B2" w:rsidRDefault="00F945B2" w:rsidP="00F945B2">
      <w:pPr>
        <w:spacing w:line="240" w:lineRule="auto"/>
        <w:rPr>
          <w:color w:val="000000"/>
          <w:sz w:val="20"/>
          <w:szCs w:val="20"/>
          <w:lang w:val="en-US"/>
        </w:rPr>
      </w:pPr>
      <w:proofErr w:type="spellStart"/>
      <w:r>
        <w:rPr>
          <w:color w:val="000000"/>
          <w:sz w:val="20"/>
          <w:szCs w:val="20"/>
          <w:lang w:val="en-US"/>
        </w:rPr>
        <w:t>Anj</w:t>
      </w:r>
      <w:proofErr w:type="spellEnd"/>
      <w:r>
        <w:rPr>
          <w:color w:val="000000"/>
          <w:sz w:val="20"/>
          <w:szCs w:val="20"/>
          <w:lang w:val="en-US"/>
        </w:rPr>
        <w:t xml:space="preserve"> now campaigns for alternatives to aged care for young people with disability, and raises awareness of relationship violence. She works part-time and lives independently with support.</w:t>
      </w:r>
    </w:p>
    <w:p w:rsidR="00F945B2" w:rsidRPr="00F945B2" w:rsidRDefault="00F945B2" w:rsidP="00F945B2">
      <w:pPr>
        <w:pStyle w:val="Heading2"/>
        <w:spacing w:line="240" w:lineRule="auto"/>
        <w:rPr>
          <w:color w:val="000000"/>
          <w:sz w:val="20"/>
          <w:szCs w:val="20"/>
          <w:lang w:val="en-US"/>
        </w:rPr>
      </w:pPr>
      <w:r>
        <w:rPr>
          <w:lang w:val="en-US"/>
        </w:rPr>
        <w:t>JAMES NUTT</w:t>
      </w:r>
    </w:p>
    <w:p w:rsidR="00F945B2" w:rsidRPr="00F945B2" w:rsidRDefault="00F945B2" w:rsidP="00F945B2">
      <w:pPr>
        <w:spacing w:line="240" w:lineRule="auto"/>
        <w:rPr>
          <w:b/>
          <w:color w:val="000000"/>
          <w:szCs w:val="21"/>
          <w:lang w:val="en-US"/>
        </w:rPr>
      </w:pPr>
      <w:r w:rsidRPr="00F945B2">
        <w:rPr>
          <w:b/>
          <w:color w:val="000000"/>
          <w:szCs w:val="21"/>
          <w:lang w:val="en-US"/>
        </w:rPr>
        <w:t>was in his early 20s when he was “sentenced” to aged care after being assaulted by a co-worker.</w:t>
      </w:r>
    </w:p>
    <w:p w:rsidR="00F945B2" w:rsidRDefault="00F945B2" w:rsidP="00F945B2">
      <w:pPr>
        <w:spacing w:line="240" w:lineRule="auto"/>
        <w:rPr>
          <w:color w:val="000000"/>
          <w:sz w:val="20"/>
          <w:szCs w:val="20"/>
          <w:lang w:val="en-US"/>
        </w:rPr>
      </w:pPr>
      <w:r>
        <w:rPr>
          <w:color w:val="000000"/>
          <w:sz w:val="20"/>
          <w:szCs w:val="20"/>
          <w:lang w:val="en-US"/>
        </w:rPr>
        <w:t>James lived there for 7 years before moving to a supported independent living residence in 2012.</w:t>
      </w:r>
    </w:p>
    <w:p w:rsidR="00F945B2" w:rsidRDefault="00F945B2" w:rsidP="00F945B2">
      <w:pPr>
        <w:spacing w:line="240" w:lineRule="auto"/>
        <w:rPr>
          <w:color w:val="000000"/>
          <w:sz w:val="20"/>
          <w:szCs w:val="20"/>
          <w:lang w:val="en-US"/>
        </w:rPr>
      </w:pPr>
      <w:r>
        <w:rPr>
          <w:color w:val="000000"/>
          <w:sz w:val="20"/>
          <w:szCs w:val="20"/>
          <w:lang w:val="en-US"/>
        </w:rPr>
        <w:t>“It felt as though there was no longer any sense in sticking around on this earth.</w:t>
      </w:r>
    </w:p>
    <w:p w:rsidR="00F945B2" w:rsidRDefault="00F945B2" w:rsidP="00F945B2">
      <w:pPr>
        <w:spacing w:line="240" w:lineRule="auto"/>
        <w:rPr>
          <w:color w:val="000000"/>
          <w:sz w:val="20"/>
          <w:szCs w:val="20"/>
          <w:lang w:val="en-US"/>
        </w:rPr>
      </w:pPr>
      <w:r>
        <w:rPr>
          <w:color w:val="000000"/>
          <w:sz w:val="20"/>
          <w:szCs w:val="20"/>
          <w:lang w:val="en-US"/>
        </w:rPr>
        <w:t>“Within a few short weeks I became so depressed. This became so bad that it felt as though the only way to end this way of life was to commit suicide. I tried a few times.</w:t>
      </w:r>
    </w:p>
    <w:p w:rsidR="00F945B2" w:rsidRDefault="00F945B2" w:rsidP="00F945B2">
      <w:pPr>
        <w:spacing w:line="240" w:lineRule="auto"/>
        <w:rPr>
          <w:color w:val="000000"/>
          <w:sz w:val="20"/>
          <w:szCs w:val="20"/>
          <w:lang w:val="en-US"/>
        </w:rPr>
      </w:pPr>
      <w:r>
        <w:rPr>
          <w:color w:val="000000"/>
          <w:sz w:val="20"/>
          <w:szCs w:val="20"/>
          <w:lang w:val="en-US"/>
        </w:rPr>
        <w:t>“You might make a friend or acquaintance, but the next week they’re dead. A 21-year-old should not be losing the people around them like that.”</w:t>
      </w:r>
    </w:p>
    <w:p w:rsidR="00F945B2" w:rsidRDefault="00F945B2">
      <w:pPr>
        <w:spacing w:after="0" w:line="240" w:lineRule="auto"/>
        <w:rPr>
          <w:color w:val="000000"/>
          <w:sz w:val="20"/>
          <w:szCs w:val="20"/>
          <w:lang w:val="en-US"/>
        </w:rPr>
      </w:pPr>
      <w:r>
        <w:rPr>
          <w:color w:val="000000"/>
          <w:sz w:val="20"/>
          <w:szCs w:val="20"/>
          <w:lang w:val="en-US"/>
        </w:rPr>
        <w:br w:type="page"/>
      </w:r>
    </w:p>
    <w:p w:rsidR="00F945B2" w:rsidRPr="00AB2A87" w:rsidRDefault="00F945B2" w:rsidP="00F945B2">
      <w:pPr>
        <w:pStyle w:val="TitleBox"/>
      </w:pPr>
      <w:r w:rsidRPr="00AB2A87">
        <w:lastRenderedPageBreak/>
        <w:t>H</w:t>
      </w:r>
      <w:r>
        <w:t>ighlights</w:t>
      </w:r>
    </w:p>
    <w:p w:rsidR="00F945B2" w:rsidRDefault="00F945B2" w:rsidP="00F945B2">
      <w:pPr>
        <w:pStyle w:val="Heading1"/>
        <w:rPr>
          <w:lang w:val="en-US"/>
        </w:rPr>
      </w:pPr>
      <w:r>
        <w:rPr>
          <w:lang w:val="en-US"/>
        </w:rPr>
        <w:t>LEAVING HOSPITAL WELL</w:t>
      </w:r>
    </w:p>
    <w:p w:rsidR="00F945B2" w:rsidRPr="00F945B2" w:rsidRDefault="00F945B2" w:rsidP="00F945B2">
      <w:pPr>
        <w:autoSpaceDE w:val="0"/>
        <w:autoSpaceDN w:val="0"/>
        <w:adjustRightInd w:val="0"/>
        <w:spacing w:after="0"/>
        <w:rPr>
          <w:rFonts w:eastAsia="Helvetica Neue" w:cstheme="majorBidi"/>
          <w:b/>
          <w:color w:val="000000" w:themeColor="text1"/>
          <w:sz w:val="24"/>
        </w:rPr>
      </w:pPr>
      <w:r w:rsidRPr="00F945B2">
        <w:rPr>
          <w:rFonts w:eastAsia="Helvetica Neue" w:cstheme="majorBidi"/>
          <w:b/>
          <w:color w:val="000000" w:themeColor="text1"/>
          <w:sz w:val="24"/>
        </w:rPr>
        <w:t>Young people with disabilities</w:t>
      </w:r>
      <w:r>
        <w:rPr>
          <w:rFonts w:eastAsia="Helvetica Neue" w:cstheme="majorBidi"/>
          <w:b/>
          <w:color w:val="000000" w:themeColor="text1"/>
          <w:sz w:val="24"/>
        </w:rPr>
        <w:t xml:space="preserve"> </w:t>
      </w:r>
      <w:proofErr w:type="gramStart"/>
      <w:r>
        <w:rPr>
          <w:rFonts w:eastAsia="Helvetica Neue" w:cstheme="majorBidi"/>
          <w:b/>
          <w:color w:val="000000" w:themeColor="text1"/>
          <w:sz w:val="24"/>
        </w:rPr>
        <w:t>a</w:t>
      </w:r>
      <w:r w:rsidRPr="00F945B2">
        <w:rPr>
          <w:rFonts w:eastAsia="Helvetica Neue" w:cstheme="majorBidi"/>
          <w:b/>
          <w:color w:val="000000" w:themeColor="text1"/>
          <w:sz w:val="24"/>
        </w:rPr>
        <w:t>re</w:t>
      </w:r>
      <w:proofErr w:type="gramEnd"/>
      <w:r w:rsidRPr="00F945B2">
        <w:rPr>
          <w:rFonts w:eastAsia="Helvetica Neue" w:cstheme="majorBidi"/>
          <w:b/>
          <w:color w:val="000000" w:themeColor="text1"/>
          <w:sz w:val="24"/>
        </w:rPr>
        <w:t xml:space="preserve"> too often forced to remain in</w:t>
      </w:r>
      <w:r>
        <w:rPr>
          <w:rFonts w:eastAsia="Helvetica Neue" w:cstheme="majorBidi"/>
          <w:b/>
          <w:color w:val="000000" w:themeColor="text1"/>
          <w:sz w:val="24"/>
        </w:rPr>
        <w:t xml:space="preserve"> </w:t>
      </w:r>
      <w:r w:rsidRPr="00F945B2">
        <w:rPr>
          <w:rFonts w:eastAsia="Helvetica Neue" w:cstheme="majorBidi"/>
          <w:b/>
          <w:color w:val="000000" w:themeColor="text1"/>
          <w:sz w:val="24"/>
        </w:rPr>
        <w:t>Hospital or rehab because there</w:t>
      </w:r>
      <w:r>
        <w:rPr>
          <w:rFonts w:eastAsia="Helvetica Neue" w:cstheme="majorBidi"/>
          <w:b/>
          <w:color w:val="000000" w:themeColor="text1"/>
          <w:sz w:val="24"/>
        </w:rPr>
        <w:t xml:space="preserve"> i</w:t>
      </w:r>
      <w:r w:rsidRPr="00F945B2">
        <w:rPr>
          <w:rFonts w:eastAsia="Helvetica Neue" w:cstheme="majorBidi"/>
          <w:b/>
          <w:color w:val="000000" w:themeColor="text1"/>
          <w:sz w:val="24"/>
        </w:rPr>
        <w:t>s no clear pathway home. Or they</w:t>
      </w:r>
      <w:r>
        <w:rPr>
          <w:rFonts w:eastAsia="Helvetica Neue" w:cstheme="majorBidi"/>
          <w:b/>
          <w:color w:val="000000" w:themeColor="text1"/>
          <w:sz w:val="24"/>
        </w:rPr>
        <w:t xml:space="preserve"> e</w:t>
      </w:r>
      <w:r w:rsidRPr="00F945B2">
        <w:rPr>
          <w:rFonts w:eastAsia="Helvetica Neue" w:cstheme="majorBidi"/>
          <w:b/>
          <w:color w:val="000000" w:themeColor="text1"/>
          <w:sz w:val="24"/>
        </w:rPr>
        <w:t>nter aged care because they</w:t>
      </w:r>
      <w:r>
        <w:rPr>
          <w:rFonts w:eastAsia="Helvetica Neue" w:cstheme="majorBidi"/>
          <w:b/>
          <w:color w:val="000000" w:themeColor="text1"/>
          <w:sz w:val="24"/>
        </w:rPr>
        <w:t xml:space="preserve"> c</w:t>
      </w:r>
      <w:r w:rsidRPr="00F945B2">
        <w:rPr>
          <w:rFonts w:eastAsia="Helvetica Neue" w:cstheme="majorBidi"/>
          <w:b/>
          <w:color w:val="000000" w:themeColor="text1"/>
          <w:sz w:val="24"/>
        </w:rPr>
        <w:t xml:space="preserve">annot access the </w:t>
      </w:r>
      <w:proofErr w:type="gramStart"/>
      <w:r w:rsidRPr="00F945B2">
        <w:rPr>
          <w:rFonts w:eastAsia="Helvetica Neue" w:cstheme="majorBidi"/>
          <w:b/>
          <w:color w:val="000000" w:themeColor="text1"/>
          <w:sz w:val="24"/>
        </w:rPr>
        <w:t>supports</w:t>
      </w:r>
      <w:proofErr w:type="gramEnd"/>
      <w:r w:rsidRPr="00F945B2">
        <w:rPr>
          <w:rFonts w:eastAsia="Helvetica Neue" w:cstheme="majorBidi"/>
          <w:b/>
          <w:color w:val="000000" w:themeColor="text1"/>
          <w:sz w:val="24"/>
        </w:rPr>
        <w:t xml:space="preserve"> they</w:t>
      </w:r>
      <w:r>
        <w:rPr>
          <w:rFonts w:eastAsia="Helvetica Neue" w:cstheme="majorBidi"/>
          <w:b/>
          <w:color w:val="000000" w:themeColor="text1"/>
          <w:sz w:val="24"/>
        </w:rPr>
        <w:t xml:space="preserve"> n</w:t>
      </w:r>
      <w:r w:rsidRPr="00F945B2">
        <w:rPr>
          <w:rFonts w:eastAsia="Helvetica Neue" w:cstheme="majorBidi"/>
          <w:b/>
          <w:color w:val="000000" w:themeColor="text1"/>
          <w:sz w:val="24"/>
        </w:rPr>
        <w:t>eed to live in the community.</w:t>
      </w:r>
    </w:p>
    <w:p w:rsidR="00F945B2" w:rsidRPr="006F295E" w:rsidRDefault="006F295E" w:rsidP="00C06E69">
      <w:pPr>
        <w:pStyle w:val="Heading1"/>
        <w:spacing w:after="240" w:line="360" w:lineRule="auto"/>
        <w:rPr>
          <w:rStyle w:val="Emphasis"/>
          <w:sz w:val="32"/>
          <w:szCs w:val="32"/>
        </w:rPr>
      </w:pPr>
      <w:r>
        <w:rPr>
          <w:rStyle w:val="Emphasis"/>
          <w:sz w:val="32"/>
          <w:szCs w:val="32"/>
        </w:rPr>
        <w:t>W</w:t>
      </w:r>
      <w:r w:rsidRPr="006F295E">
        <w:rPr>
          <w:rStyle w:val="Emphasis"/>
          <w:sz w:val="32"/>
          <w:szCs w:val="32"/>
        </w:rPr>
        <w:t>e trained 1,411 hospital discharge</w:t>
      </w:r>
      <w:r>
        <w:rPr>
          <w:rStyle w:val="Emphasis"/>
          <w:sz w:val="32"/>
          <w:szCs w:val="32"/>
        </w:rPr>
        <w:t xml:space="preserve"> staff</w:t>
      </w:r>
    </w:p>
    <w:p w:rsidR="00F945B2" w:rsidRDefault="00F945B2" w:rsidP="00F945B2">
      <w:pPr>
        <w:rPr>
          <w:lang w:val="en-US"/>
        </w:rPr>
      </w:pPr>
      <w:r>
        <w:rPr>
          <w:lang w:val="en-US"/>
        </w:rPr>
        <w:t>The NDIS, health and aged care systems do not work well together to make sure people with disability have the right supports in place when they are ready to suitable housing in the community.</w:t>
      </w:r>
    </w:p>
    <w:p w:rsidR="00F945B2" w:rsidRDefault="00F945B2" w:rsidP="00F945B2">
      <w:pPr>
        <w:rPr>
          <w:lang w:val="en-US"/>
        </w:rPr>
      </w:pPr>
      <w:r>
        <w:rPr>
          <w:lang w:val="en-US"/>
        </w:rPr>
        <w:t>This year our hospital discharge work has focused on three main things:</w:t>
      </w:r>
    </w:p>
    <w:p w:rsidR="00F945B2" w:rsidRDefault="00F945B2" w:rsidP="009714B9">
      <w:pPr>
        <w:pStyle w:val="Bullets"/>
        <w:rPr>
          <w:lang w:val="en-US"/>
        </w:rPr>
      </w:pPr>
      <w:r>
        <w:rPr>
          <w:lang w:val="en-US"/>
        </w:rPr>
        <w:t>A Collaborative Discharge Approach</w:t>
      </w:r>
    </w:p>
    <w:p w:rsidR="00F945B2" w:rsidRDefault="00F945B2" w:rsidP="009714B9">
      <w:pPr>
        <w:pStyle w:val="Bullets"/>
        <w:rPr>
          <w:lang w:val="en-US"/>
        </w:rPr>
      </w:pPr>
      <w:r>
        <w:rPr>
          <w:lang w:val="en-US"/>
        </w:rPr>
        <w:t>Workshops to build the skills of hospital discharge staff</w:t>
      </w:r>
    </w:p>
    <w:p w:rsidR="00F945B2" w:rsidRDefault="00F945B2" w:rsidP="009714B9">
      <w:pPr>
        <w:pStyle w:val="BUlletslast"/>
      </w:pPr>
      <w:r>
        <w:t>Our Annual Public Forum</w:t>
      </w:r>
    </w:p>
    <w:p w:rsidR="00F945B2" w:rsidRDefault="00F945B2" w:rsidP="00F945B2">
      <w:pPr>
        <w:rPr>
          <w:lang w:val="en-US"/>
        </w:rPr>
      </w:pPr>
      <w:r>
        <w:rPr>
          <w:lang w:val="en-US"/>
        </w:rPr>
        <w:t>The Annual Public Forum in October 2018 showed that a good hospital discharge process for people with disability is very important.</w:t>
      </w:r>
    </w:p>
    <w:p w:rsidR="00F945B2" w:rsidRDefault="00F945B2" w:rsidP="00F945B2">
      <w:pPr>
        <w:rPr>
          <w:lang w:val="en-US"/>
        </w:rPr>
      </w:pPr>
      <w:r>
        <w:rPr>
          <w:lang w:val="en-US"/>
        </w:rPr>
        <w:t>The forum brought together more than 150 hospital discharge professionals, people with lived experience and disability sector professionals. They heard personal stories about people’s hospital discharge experiences and difficulties accessing the NDIS, but also about positive outcomes that have been achieved.</w:t>
      </w:r>
    </w:p>
    <w:p w:rsidR="00C06E69" w:rsidRDefault="00C06E69">
      <w:pPr>
        <w:spacing w:after="0" w:line="240" w:lineRule="auto"/>
        <w:rPr>
          <w:rFonts w:ascii="Helvetica Neue Condensed" w:eastAsia="Helvetica Neue" w:hAnsi="Helvetica Neue Condensed" w:cstheme="majorBidi"/>
          <w:b/>
          <w:color w:val="000000" w:themeColor="text1"/>
          <w:sz w:val="40"/>
          <w:szCs w:val="40"/>
          <w:lang w:val="en-US"/>
        </w:rPr>
      </w:pPr>
      <w:r>
        <w:rPr>
          <w:lang w:val="en-US"/>
        </w:rPr>
        <w:br w:type="page"/>
      </w:r>
    </w:p>
    <w:p w:rsidR="00F945B2" w:rsidRPr="006F295E" w:rsidRDefault="00F945B2" w:rsidP="00F945B2">
      <w:pPr>
        <w:pStyle w:val="Heading2"/>
        <w:rPr>
          <w:color w:val="F59B3F"/>
          <w:lang w:val="en-US"/>
        </w:rPr>
      </w:pPr>
      <w:r w:rsidRPr="006F295E">
        <w:rPr>
          <w:color w:val="F59B3F"/>
          <w:lang w:val="en-US"/>
        </w:rPr>
        <w:lastRenderedPageBreak/>
        <w:t>COLLABORATIVE DISCHARGE APPROACH</w:t>
      </w:r>
    </w:p>
    <w:p w:rsidR="00F945B2" w:rsidRDefault="00F945B2" w:rsidP="00F945B2">
      <w:pPr>
        <w:rPr>
          <w:color w:val="000000"/>
          <w:sz w:val="20"/>
          <w:szCs w:val="20"/>
          <w:lang w:val="en-US"/>
        </w:rPr>
      </w:pPr>
      <w:r>
        <w:rPr>
          <w:color w:val="000000"/>
          <w:sz w:val="20"/>
          <w:szCs w:val="20"/>
          <w:lang w:val="en-US"/>
        </w:rPr>
        <w:t>We have prototyped a Collaborative Discharge Approach (CDA) to help the NDIS, health and aged care systems, support coordination and housing work together.</w:t>
      </w:r>
    </w:p>
    <w:p w:rsidR="00F945B2" w:rsidRDefault="00F945B2" w:rsidP="00F945B2">
      <w:pPr>
        <w:rPr>
          <w:color w:val="000000"/>
          <w:sz w:val="20"/>
          <w:szCs w:val="20"/>
          <w:lang w:val="en-US"/>
        </w:rPr>
      </w:pPr>
      <w:r>
        <w:rPr>
          <w:color w:val="000000"/>
          <w:sz w:val="20"/>
          <w:szCs w:val="20"/>
          <w:lang w:val="en-US"/>
        </w:rPr>
        <w:t>The CDA brings together what we’ve learned from a number of Summer Foundation projects and explores a hospital discharge process that can be used in all hospitals.</w:t>
      </w:r>
    </w:p>
    <w:p w:rsidR="00F945B2" w:rsidRDefault="00F945B2" w:rsidP="00F945B2">
      <w:pPr>
        <w:rPr>
          <w:color w:val="000000"/>
          <w:sz w:val="20"/>
          <w:szCs w:val="20"/>
          <w:lang w:val="en-US"/>
        </w:rPr>
      </w:pPr>
      <w:r>
        <w:rPr>
          <w:color w:val="000000"/>
          <w:sz w:val="20"/>
          <w:szCs w:val="20"/>
          <w:lang w:val="en-US"/>
        </w:rPr>
        <w:t>The CDA takes people through all the steps that must be completed to make sure a person with disability can leave hospital well.</w:t>
      </w:r>
    </w:p>
    <w:p w:rsidR="00F945B2" w:rsidRDefault="00F945B2" w:rsidP="00F945B2">
      <w:pPr>
        <w:rPr>
          <w:color w:val="000000"/>
          <w:sz w:val="20"/>
          <w:szCs w:val="20"/>
          <w:lang w:val="en-US"/>
        </w:rPr>
      </w:pPr>
      <w:r>
        <w:rPr>
          <w:color w:val="000000"/>
          <w:sz w:val="20"/>
          <w:szCs w:val="20"/>
          <w:lang w:val="en-US"/>
        </w:rPr>
        <w:t>It will help younger people with disability and complex needs return to their homes or suitable housing in the community with supports in place, and without delays in their hospital discharge.</w:t>
      </w:r>
    </w:p>
    <w:p w:rsidR="00F945B2" w:rsidRPr="00C06E69" w:rsidRDefault="00F945B2">
      <w:pPr>
        <w:rPr>
          <w:color w:val="000000"/>
          <w:sz w:val="20"/>
          <w:szCs w:val="20"/>
          <w:lang w:val="en-US"/>
        </w:rPr>
      </w:pPr>
      <w:r>
        <w:rPr>
          <w:color w:val="000000"/>
          <w:sz w:val="20"/>
          <w:szCs w:val="20"/>
          <w:lang w:val="en-US"/>
        </w:rPr>
        <w:t xml:space="preserve">This year we held 43 workshops for 1,411 </w:t>
      </w:r>
      <w:proofErr w:type="spellStart"/>
      <w:r>
        <w:rPr>
          <w:color w:val="000000"/>
          <w:sz w:val="20"/>
          <w:szCs w:val="20"/>
          <w:lang w:val="en-US"/>
        </w:rPr>
        <w:t>hospitaldischarge</w:t>
      </w:r>
      <w:proofErr w:type="spellEnd"/>
      <w:r>
        <w:rPr>
          <w:color w:val="000000"/>
          <w:sz w:val="20"/>
          <w:szCs w:val="20"/>
          <w:lang w:val="en-US"/>
        </w:rPr>
        <w:t xml:space="preserve"> staff across the country.</w:t>
      </w:r>
    </w:p>
    <w:p w:rsidR="00C06E69" w:rsidRPr="00C06E69" w:rsidRDefault="00C06E69" w:rsidP="008A3FB8">
      <w:pPr>
        <w:pStyle w:val="Heading3"/>
        <w:rPr>
          <w:lang w:val="en-US"/>
        </w:rPr>
      </w:pPr>
      <w:r w:rsidRPr="00C06E69">
        <w:rPr>
          <w:lang w:val="en-US"/>
        </w:rPr>
        <w:t>COLLABORATIVE DISCHARGE APPROACH</w:t>
      </w:r>
      <w:r>
        <w:rPr>
          <w:lang w:val="en-US"/>
        </w:rPr>
        <w:t xml:space="preserve"> Activity Set:</w:t>
      </w:r>
    </w:p>
    <w:p w:rsidR="00E202F3" w:rsidRPr="00C06E69" w:rsidRDefault="00E202F3" w:rsidP="00C06E69">
      <w:pPr>
        <w:pStyle w:val="Heading3"/>
      </w:pPr>
      <w:r w:rsidRPr="00C06E69">
        <w:t>ACTIVITY 1</w:t>
      </w:r>
    </w:p>
    <w:p w:rsidR="00C06E69" w:rsidRPr="00C06E69" w:rsidRDefault="00C06E69" w:rsidP="00C06E69">
      <w:r>
        <w:t>I</w:t>
      </w:r>
      <w:r w:rsidRPr="00C06E69">
        <w:t xml:space="preserve">s person </w:t>
      </w:r>
      <w:proofErr w:type="gramStart"/>
      <w:r w:rsidRPr="00C06E69">
        <w:t>an</w:t>
      </w:r>
      <w:proofErr w:type="gramEnd"/>
      <w:r w:rsidRPr="00C06E69">
        <w:t xml:space="preserve"> </w:t>
      </w:r>
      <w:proofErr w:type="spellStart"/>
      <w:r w:rsidRPr="00C06E69">
        <w:t>ndis</w:t>
      </w:r>
      <w:proofErr w:type="spellEnd"/>
      <w:r w:rsidRPr="00C06E69">
        <w:t xml:space="preserve"> participant?</w:t>
      </w:r>
    </w:p>
    <w:p w:rsidR="00C06E69" w:rsidRPr="00C06E69" w:rsidRDefault="00C06E69" w:rsidP="00C06E69">
      <w:pPr>
        <w:pStyle w:val="Heading3"/>
      </w:pPr>
      <w:r w:rsidRPr="00C06E69">
        <w:t>A</w:t>
      </w:r>
      <w:r>
        <w:t>c</w:t>
      </w:r>
      <w:r w:rsidRPr="00C06E69">
        <w:t>tivity 2</w:t>
      </w:r>
    </w:p>
    <w:p w:rsidR="00C06E69" w:rsidRPr="00C06E69" w:rsidRDefault="00C06E69" w:rsidP="00C06E69">
      <w:r w:rsidRPr="00C06E69">
        <w:t>Determine discharge destination:</w:t>
      </w:r>
      <w:r>
        <w:t xml:space="preserve"> </w:t>
      </w:r>
      <w:r w:rsidRPr="00C06E69">
        <w:t>home, SDA, non-SDA?</w:t>
      </w:r>
    </w:p>
    <w:p w:rsidR="00C06E69" w:rsidRPr="00C06E69" w:rsidRDefault="00C06E69" w:rsidP="00C06E69">
      <w:pPr>
        <w:pStyle w:val="Heading3"/>
      </w:pPr>
      <w:r w:rsidRPr="00C06E69">
        <w:t>Activity 3</w:t>
      </w:r>
    </w:p>
    <w:p w:rsidR="00C06E69" w:rsidRPr="00C06E69" w:rsidRDefault="00C06E69" w:rsidP="00C06E69">
      <w:r w:rsidRPr="00C06E69">
        <w:t>is interim housing required?</w:t>
      </w:r>
    </w:p>
    <w:p w:rsidR="00C06E69" w:rsidRPr="00C06E69" w:rsidRDefault="00C06E69" w:rsidP="00C06E69">
      <w:pPr>
        <w:pStyle w:val="Heading3"/>
      </w:pPr>
      <w:r w:rsidRPr="00C06E69">
        <w:t>Activity 4</w:t>
      </w:r>
    </w:p>
    <w:p w:rsidR="00C06E69" w:rsidRPr="00C06E69" w:rsidRDefault="00C06E69" w:rsidP="00C06E69">
      <w:r w:rsidRPr="00C06E69">
        <w:t>Prepare for discharge destination</w:t>
      </w:r>
    </w:p>
    <w:p w:rsidR="00C06E69" w:rsidRPr="00C06E69" w:rsidRDefault="00C06E69" w:rsidP="00C06E69">
      <w:pPr>
        <w:pStyle w:val="Heading3"/>
      </w:pPr>
      <w:r w:rsidRPr="00C06E69">
        <w:t>Activity 5</w:t>
      </w:r>
    </w:p>
    <w:p w:rsidR="00C06E69" w:rsidRPr="00C06E69" w:rsidRDefault="00C06E69" w:rsidP="00C06E69">
      <w:r w:rsidRPr="00C06E69">
        <w:t>Prepare for discharge destination</w:t>
      </w:r>
    </w:p>
    <w:p w:rsidR="00C06E69" w:rsidRDefault="00C06E69">
      <w:pPr>
        <w:spacing w:after="0" w:line="240" w:lineRule="auto"/>
      </w:pPr>
      <w:r>
        <w:br w:type="page"/>
      </w:r>
    </w:p>
    <w:p w:rsidR="00C06E69" w:rsidRPr="00AB2A87" w:rsidRDefault="00C06E69" w:rsidP="00C06E69">
      <w:pPr>
        <w:pStyle w:val="TitleBox"/>
      </w:pPr>
      <w:r w:rsidRPr="00AB2A87">
        <w:lastRenderedPageBreak/>
        <w:t>H</w:t>
      </w:r>
      <w:r>
        <w:t>ighlights</w:t>
      </w:r>
    </w:p>
    <w:p w:rsidR="00C06E69" w:rsidRDefault="00C06E69" w:rsidP="00C06E69">
      <w:pPr>
        <w:pStyle w:val="Heading1"/>
        <w:rPr>
          <w:w w:val="98"/>
        </w:rPr>
      </w:pPr>
      <w:r>
        <w:rPr>
          <w:w w:val="98"/>
        </w:rPr>
        <w:t>HOUSING MATCHING</w:t>
      </w:r>
    </w:p>
    <w:p w:rsidR="00C06E69" w:rsidRPr="00C06E69" w:rsidRDefault="00C06E69" w:rsidP="00C06E69">
      <w:pPr>
        <w:pStyle w:val="Heading4"/>
      </w:pPr>
      <w:r w:rsidRPr="00C06E69">
        <w:t>WE established OUR Housing Matching Social Enterprise to provide a way for people with disability to find a home that is right for them. IT incorporates The Housing Hub website and the Tenancy Matching Service.</w:t>
      </w:r>
    </w:p>
    <w:p w:rsidR="00C06E69" w:rsidRPr="006F295E" w:rsidRDefault="00C06E69" w:rsidP="00C06E69">
      <w:pPr>
        <w:suppressAutoHyphens/>
        <w:autoSpaceDE w:val="0"/>
        <w:autoSpaceDN w:val="0"/>
        <w:adjustRightInd w:val="0"/>
        <w:spacing w:before="240" w:after="240" w:line="240" w:lineRule="atLeast"/>
        <w:textAlignment w:val="center"/>
        <w:rPr>
          <w:rStyle w:val="Emphasis"/>
          <w:rFonts w:eastAsiaTheme="majorEastAsia" w:cstheme="majorBidi"/>
          <w:b/>
          <w:color w:val="F49B35"/>
          <w:sz w:val="32"/>
          <w:szCs w:val="32"/>
        </w:rPr>
      </w:pPr>
      <w:r w:rsidRPr="00C06E69">
        <w:rPr>
          <w:rStyle w:val="Emphasis"/>
          <w:rFonts w:eastAsiaTheme="majorEastAsia" w:cstheme="majorBidi"/>
          <w:b/>
          <w:color w:val="F49B35"/>
          <w:sz w:val="32"/>
          <w:szCs w:val="32"/>
        </w:rPr>
        <w:t xml:space="preserve">The Housing Hub has listed </w:t>
      </w:r>
      <w:r w:rsidRPr="006F295E">
        <w:rPr>
          <w:rStyle w:val="Emphasis"/>
          <w:rFonts w:eastAsiaTheme="majorEastAsia" w:cstheme="majorBidi"/>
          <w:b/>
          <w:color w:val="F49B35"/>
          <w:sz w:val="32"/>
          <w:szCs w:val="32"/>
        </w:rPr>
        <w:t xml:space="preserve">768 </w:t>
      </w:r>
      <w:r w:rsidRPr="00C06E69">
        <w:rPr>
          <w:rStyle w:val="Emphasis"/>
          <w:rFonts w:eastAsiaTheme="majorEastAsia" w:cstheme="majorBidi"/>
          <w:b/>
          <w:color w:val="F49B35"/>
          <w:sz w:val="32"/>
          <w:szCs w:val="32"/>
        </w:rPr>
        <w:t>dwellings</w:t>
      </w:r>
    </w:p>
    <w:p w:rsidR="00C06E69" w:rsidRDefault="00C06E69" w:rsidP="00C06E69">
      <w:r>
        <w:t>The Housing Hub (thehousinghub.org.au) is dedicated to supporting people with disability find a home they would like to live in. It also provides a place for housing providers in Victoria, New South Wales, Queensland, the ACT and South Australia to list their properties, for both Specialist Disability Accommodation (SDA) and non-SDA properties.</w:t>
      </w:r>
    </w:p>
    <w:p w:rsidR="00C06E69" w:rsidRDefault="00C06E69" w:rsidP="00C06E69">
      <w:r>
        <w:t>Over the past financial year, The Housing Hub has listed 768 dwellings and more than 39,300 people have visited the site. Upgrades were made to the site during the year and further work will be done next year to include a participant profile function.</w:t>
      </w:r>
    </w:p>
    <w:p w:rsidR="00C06E69" w:rsidRDefault="00C06E69" w:rsidP="00C06E69">
      <w:r>
        <w:t>The Tenancy Matching Service (TMS) supports people with disability who are likely to be eligible for SDA funding to apply for new properties. At the moment, it is connecting participants to properties across Queensland, New South Wales, the ACT and Victoria. The TMS provides support and mentoring to support coordinators and health professionals who are supporting people with disability to apply to the NDIA to have SDA included in their NDIS plans.</w:t>
      </w:r>
    </w:p>
    <w:p w:rsidR="00C06E69" w:rsidRDefault="00C06E69" w:rsidP="00C06E69">
      <w:r>
        <w:t>This year the TMS supported 45 people with disability to connect with SDA providers in order to be offered a new home at properties in Belmont (NSW), Fairfield (Vic), Cheltenham (Vic), Ringwood (Vic), Guilford (NSW), Woolloongabba (Qld) and Rockdale (NSW).</w:t>
      </w:r>
    </w:p>
    <w:p w:rsidR="00C06E69" w:rsidRDefault="00C06E69" w:rsidP="00C06E69">
      <w:r>
        <w:t>To meet the growing demand for our services, the Housing Matching Social Enterprise has employed an additional 15 staff during the past financial year.</w:t>
      </w:r>
    </w:p>
    <w:p w:rsidR="006F295E" w:rsidRDefault="006F295E">
      <w:pPr>
        <w:spacing w:after="0" w:line="240" w:lineRule="auto"/>
      </w:pPr>
      <w:r>
        <w:br w:type="page"/>
      </w:r>
    </w:p>
    <w:p w:rsidR="006F295E" w:rsidRPr="00AB2A87" w:rsidRDefault="006F295E" w:rsidP="006F295E">
      <w:pPr>
        <w:pStyle w:val="TitleBox"/>
      </w:pPr>
      <w:r w:rsidRPr="00AB2A87">
        <w:lastRenderedPageBreak/>
        <w:t>H</w:t>
      </w:r>
      <w:r>
        <w:t>ighlights</w:t>
      </w:r>
    </w:p>
    <w:p w:rsidR="006F295E" w:rsidRDefault="006F295E" w:rsidP="006F295E">
      <w:pPr>
        <w:pStyle w:val="Heading1"/>
        <w:rPr>
          <w:w w:val="98"/>
        </w:rPr>
      </w:pPr>
      <w:r>
        <w:rPr>
          <w:w w:val="98"/>
        </w:rPr>
        <w:t>SYSTEMS ADVOCACY</w:t>
      </w:r>
    </w:p>
    <w:p w:rsidR="006F295E" w:rsidRDefault="006F295E" w:rsidP="006F295E">
      <w:pPr>
        <w:pStyle w:val="Heading4"/>
      </w:pPr>
      <w:r>
        <w:t xml:space="preserve">The last few months of the 2018-19 financial year saw positive outcomes </w:t>
      </w:r>
      <w:r>
        <w:br/>
        <w:t xml:space="preserve">in several areas </w:t>
      </w:r>
      <w:proofErr w:type="gramStart"/>
      <w:r>
        <w:t>that  are</w:t>
      </w:r>
      <w:proofErr w:type="gramEnd"/>
      <w:r>
        <w:t xml:space="preserve"> critical to solving the issue of young people </w:t>
      </w:r>
      <w:proofErr w:type="spellStart"/>
      <w:r>
        <w:t>inaged</w:t>
      </w:r>
      <w:proofErr w:type="spellEnd"/>
      <w:r>
        <w:t xml:space="preserve"> care.</w:t>
      </w:r>
    </w:p>
    <w:p w:rsidR="006F295E" w:rsidRPr="006F295E" w:rsidRDefault="006F295E" w:rsidP="006F295E">
      <w:pPr>
        <w:suppressAutoHyphens/>
        <w:autoSpaceDE w:val="0"/>
        <w:autoSpaceDN w:val="0"/>
        <w:adjustRightInd w:val="0"/>
        <w:spacing w:before="240" w:after="240" w:line="240" w:lineRule="atLeast"/>
        <w:textAlignment w:val="center"/>
        <w:rPr>
          <w:rStyle w:val="Emphasis"/>
          <w:rFonts w:eastAsiaTheme="majorEastAsia" w:cstheme="majorBidi"/>
          <w:b/>
          <w:color w:val="F49B35"/>
          <w:sz w:val="32"/>
          <w:szCs w:val="32"/>
        </w:rPr>
      </w:pPr>
      <w:r w:rsidRPr="006F295E">
        <w:rPr>
          <w:rStyle w:val="Emphasis"/>
          <w:rFonts w:eastAsiaTheme="majorEastAsia" w:cstheme="majorBidi"/>
          <w:b/>
          <w:color w:val="F49B35"/>
          <w:sz w:val="32"/>
          <w:szCs w:val="32"/>
        </w:rPr>
        <w:t>The government has committed to halving the number of younger people entering aged care by 2025</w:t>
      </w:r>
    </w:p>
    <w:p w:rsidR="006F295E" w:rsidRDefault="006F295E" w:rsidP="006F295E">
      <w:r>
        <w:t>The Young People in Residential Aged Care Action Plan was announced by the Hon Paul Fletcher, then Minister for Families and Social Services, at our SDA national conference.</w:t>
      </w:r>
    </w:p>
    <w:p w:rsidR="006F295E" w:rsidRDefault="006F295E" w:rsidP="006F295E">
      <w:r>
        <w:t>It commits the government to halving the number of people with disability aged under 65 entering aged care by 2025, improving NDIS processes for young people in aged care, and increasing housing options for young people with disability.</w:t>
      </w:r>
    </w:p>
    <w:p w:rsidR="006F295E" w:rsidRDefault="006F295E" w:rsidP="006F295E">
      <w:r>
        <w:t>In June 2018, we coordinated a submission from 21 organisations to a government review of the SDA Pricing and Payments Framework.</w:t>
      </w:r>
    </w:p>
    <w:p w:rsidR="006F295E" w:rsidRDefault="006F295E" w:rsidP="006F295E">
      <w:r>
        <w:t>The submission outlined key concerns that the organisations felt were hampering the potential to build a diverse, innovative and responsive SDA market.</w:t>
      </w:r>
    </w:p>
    <w:p w:rsidR="006F295E" w:rsidRDefault="006F295E" w:rsidP="006F295E">
      <w:r>
        <w:t xml:space="preserve">Addressing these concerns, the government announced reforms to the Framework at the opening of Summer Housing’s new purpose-built SDA apartments in Fairfield in February 2019. </w:t>
      </w:r>
    </w:p>
    <w:p w:rsidR="006F295E" w:rsidRDefault="006F295E" w:rsidP="006F295E">
      <w:r>
        <w:t>The Summer Foundation also welcomed the decision by the Council of Australian Governments’ Disability Reform Council at the end of June 2019 for the NDIS to fund a range of disability-related health supports.</w:t>
      </w:r>
    </w:p>
    <w:p w:rsidR="006F295E" w:rsidRDefault="006F295E" w:rsidP="006F295E">
      <w:r>
        <w:t>This means that the NDIS will now pay for essential supports that were previously falling between the cracks of the NDIS and health system interface.</w:t>
      </w:r>
    </w:p>
    <w:p w:rsidR="006F295E" w:rsidRDefault="006F295E" w:rsidP="006F295E">
      <w:r>
        <w:t>When these supports were not being funded by the NDIS, people with disability were too often stuck in hospital or aged care as the only places where they could get the supports. Examples include respiratory and continence supports, supports to manage epilepsy, pressure wounds, swallowing difficulties, and podiatry.</w:t>
      </w:r>
    </w:p>
    <w:p w:rsidR="006F295E" w:rsidRDefault="006F295E" w:rsidP="006F295E">
      <w:r>
        <w:t>The decision will allow many younger people stuck in aged care or hospitals to return to their communities.</w:t>
      </w:r>
    </w:p>
    <w:p w:rsidR="006F295E" w:rsidRDefault="006F295E">
      <w:pPr>
        <w:spacing w:after="0" w:line="240" w:lineRule="auto"/>
      </w:pPr>
      <w:r>
        <w:br w:type="page"/>
      </w:r>
    </w:p>
    <w:p w:rsidR="006F295E" w:rsidRPr="00AB2A87" w:rsidRDefault="006F295E" w:rsidP="006F295E">
      <w:pPr>
        <w:pStyle w:val="TitleBox"/>
      </w:pPr>
      <w:r w:rsidRPr="00AB2A87">
        <w:lastRenderedPageBreak/>
        <w:t>H</w:t>
      </w:r>
      <w:r>
        <w:t>ighlights</w:t>
      </w:r>
    </w:p>
    <w:p w:rsidR="006F295E" w:rsidRDefault="006F295E" w:rsidP="006F295E">
      <w:pPr>
        <w:pStyle w:val="Heading1"/>
        <w:rPr>
          <w:w w:val="98"/>
        </w:rPr>
      </w:pPr>
      <w:r>
        <w:rPr>
          <w:w w:val="98"/>
        </w:rPr>
        <w:t>RESEARCH</w:t>
      </w:r>
    </w:p>
    <w:p w:rsidR="006F295E" w:rsidRDefault="006F295E" w:rsidP="006F295E">
      <w:pPr>
        <w:pStyle w:val="Heading4"/>
      </w:pPr>
      <w:r>
        <w:t>The work of our research team is important to help understand why young people end up in aged care, and what needs to change in the health, housing and disability systems to stop it happening.</w:t>
      </w:r>
    </w:p>
    <w:p w:rsidR="006F295E" w:rsidRPr="006F295E" w:rsidRDefault="006F295E" w:rsidP="006F295E">
      <w:pPr>
        <w:suppressAutoHyphens/>
        <w:autoSpaceDE w:val="0"/>
        <w:autoSpaceDN w:val="0"/>
        <w:adjustRightInd w:val="0"/>
        <w:spacing w:before="60" w:after="60"/>
        <w:textAlignment w:val="center"/>
        <w:rPr>
          <w:rStyle w:val="Emphasis"/>
          <w:rFonts w:eastAsiaTheme="majorEastAsia" w:cstheme="majorBidi"/>
          <w:b/>
          <w:color w:val="F49B35"/>
          <w:sz w:val="32"/>
          <w:szCs w:val="32"/>
        </w:rPr>
      </w:pPr>
      <w:r w:rsidRPr="006F295E">
        <w:rPr>
          <w:rStyle w:val="Emphasis"/>
          <w:rFonts w:eastAsiaTheme="majorEastAsia" w:cstheme="majorBidi"/>
          <w:b/>
          <w:color w:val="F49B35"/>
          <w:sz w:val="32"/>
          <w:szCs w:val="32"/>
        </w:rPr>
        <w:t>9 Primary data projects</w:t>
      </w:r>
    </w:p>
    <w:p w:rsidR="006F295E" w:rsidRPr="006F295E" w:rsidRDefault="006F295E" w:rsidP="006F295E">
      <w:pPr>
        <w:suppressAutoHyphens/>
        <w:autoSpaceDE w:val="0"/>
        <w:autoSpaceDN w:val="0"/>
        <w:adjustRightInd w:val="0"/>
        <w:spacing w:before="60" w:after="60"/>
        <w:textAlignment w:val="center"/>
        <w:rPr>
          <w:rStyle w:val="Emphasis"/>
          <w:rFonts w:eastAsiaTheme="majorEastAsia" w:cstheme="majorBidi"/>
          <w:b/>
          <w:color w:val="F49B35"/>
          <w:sz w:val="32"/>
          <w:szCs w:val="32"/>
        </w:rPr>
      </w:pPr>
      <w:r w:rsidRPr="006F295E">
        <w:rPr>
          <w:rStyle w:val="Emphasis"/>
          <w:rFonts w:eastAsiaTheme="majorEastAsia" w:cstheme="majorBidi"/>
          <w:b/>
          <w:color w:val="F49B35"/>
          <w:sz w:val="32"/>
          <w:szCs w:val="32"/>
        </w:rPr>
        <w:t>6 Scoping reviews</w:t>
      </w:r>
    </w:p>
    <w:p w:rsidR="006F295E" w:rsidRDefault="006F295E" w:rsidP="008A3FB8">
      <w:pPr>
        <w:suppressAutoHyphens/>
        <w:autoSpaceDE w:val="0"/>
        <w:autoSpaceDN w:val="0"/>
        <w:adjustRightInd w:val="0"/>
        <w:spacing w:before="60"/>
        <w:textAlignment w:val="center"/>
        <w:rPr>
          <w:rStyle w:val="Emphasis"/>
          <w:rFonts w:eastAsiaTheme="majorEastAsia" w:cstheme="majorBidi"/>
          <w:b/>
          <w:color w:val="F49B35"/>
          <w:sz w:val="32"/>
          <w:szCs w:val="32"/>
        </w:rPr>
      </w:pPr>
      <w:r w:rsidRPr="006F295E">
        <w:rPr>
          <w:rStyle w:val="Emphasis"/>
          <w:rFonts w:eastAsiaTheme="majorEastAsia" w:cstheme="majorBidi"/>
          <w:b/>
          <w:color w:val="F49B35"/>
          <w:sz w:val="32"/>
          <w:szCs w:val="32"/>
        </w:rPr>
        <w:t>7 Administrative data projects</w:t>
      </w:r>
    </w:p>
    <w:p w:rsidR="006F295E" w:rsidRDefault="006F295E" w:rsidP="006F295E">
      <w:pPr>
        <w:spacing w:line="276" w:lineRule="auto"/>
      </w:pPr>
      <w:r>
        <w:t>Primary data projects collect information from people about their lived experience. Areas we looked at included: How moving into a new SDA home affects people with disability</w:t>
      </w:r>
    </w:p>
    <w:p w:rsidR="006F295E" w:rsidRDefault="006F295E" w:rsidP="009714B9">
      <w:pPr>
        <w:pStyle w:val="Bullets"/>
      </w:pPr>
      <w:r>
        <w:t>How the building, technology and support in SDA homes are used by people with disability</w:t>
      </w:r>
    </w:p>
    <w:p w:rsidR="006F295E" w:rsidRDefault="006F295E" w:rsidP="009714B9">
      <w:pPr>
        <w:pStyle w:val="Bullets"/>
      </w:pPr>
      <w:r>
        <w:t>The barriers and facilitators for effective hospital discharge planning for people with disability</w:t>
      </w:r>
    </w:p>
    <w:p w:rsidR="006F295E" w:rsidRDefault="006F295E" w:rsidP="009714B9">
      <w:pPr>
        <w:pStyle w:val="Bullets"/>
      </w:pPr>
      <w:r>
        <w:t>The experience people with disability and complex needs have with the NDIS</w:t>
      </w:r>
    </w:p>
    <w:p w:rsidR="006F295E" w:rsidRDefault="006F295E" w:rsidP="009714B9">
      <w:pPr>
        <w:pStyle w:val="BUlletslast"/>
      </w:pPr>
      <w:r>
        <w:t>The effectiveness of workshops designed to train support workers in how they can assist people with disability to communicate their support needs using participant led videos</w:t>
      </w:r>
    </w:p>
    <w:p w:rsidR="006F295E" w:rsidRDefault="006F295E" w:rsidP="006F295E">
      <w:pPr>
        <w:spacing w:line="276" w:lineRule="auto"/>
      </w:pPr>
      <w:r>
        <w:t xml:space="preserve">Scoping reviews look at research that has already been done to see if it can help our future research projects. Areas we are looking at include: </w:t>
      </w:r>
    </w:p>
    <w:p w:rsidR="006F295E" w:rsidRDefault="006F295E" w:rsidP="009714B9">
      <w:pPr>
        <w:pStyle w:val="Bullets"/>
      </w:pPr>
      <w:r>
        <w:t xml:space="preserve">Younger people with disability in aged care </w:t>
      </w:r>
    </w:p>
    <w:p w:rsidR="006F295E" w:rsidRDefault="006F295E" w:rsidP="009714B9">
      <w:pPr>
        <w:pStyle w:val="Bullets"/>
      </w:pPr>
      <w:r>
        <w:t xml:space="preserve">People with disability living in different types of community housing </w:t>
      </w:r>
    </w:p>
    <w:p w:rsidR="006F295E" w:rsidRDefault="006F295E" w:rsidP="009714B9">
      <w:pPr>
        <w:pStyle w:val="Bullets"/>
      </w:pPr>
      <w:r>
        <w:t>What helps ensure quality support for people with disability and complex needs</w:t>
      </w:r>
    </w:p>
    <w:p w:rsidR="006F295E" w:rsidRDefault="006F295E" w:rsidP="009714B9">
      <w:pPr>
        <w:pStyle w:val="BUlletslast"/>
      </w:pPr>
      <w:r>
        <w:t>Health needs, costs and service utilisation of people with disability</w:t>
      </w:r>
    </w:p>
    <w:p w:rsidR="006F295E" w:rsidRDefault="006F295E" w:rsidP="006F295E">
      <w:pPr>
        <w:spacing w:line="276" w:lineRule="auto"/>
      </w:pPr>
      <w:r>
        <w:t xml:space="preserve">Administrative data projects look at the information collected by organisations like governments, aged care facilities and hospitals. The areas we looked at include: </w:t>
      </w:r>
    </w:p>
    <w:p w:rsidR="006F295E" w:rsidRDefault="006F295E" w:rsidP="009714B9">
      <w:pPr>
        <w:pStyle w:val="Bullets"/>
      </w:pPr>
      <w:r>
        <w:t>Trends in aged care usage by young people over the past 10 years</w:t>
      </w:r>
    </w:p>
    <w:p w:rsidR="006F295E" w:rsidRDefault="006F295E" w:rsidP="009714B9">
      <w:pPr>
        <w:pStyle w:val="Bullets"/>
      </w:pPr>
      <w:r>
        <w:t>The characteristics of young people currently residing in aged care across Australia</w:t>
      </w:r>
    </w:p>
    <w:p w:rsidR="006F295E" w:rsidRDefault="006F295E" w:rsidP="009714B9">
      <w:pPr>
        <w:pStyle w:val="Bullets"/>
      </w:pPr>
      <w:r>
        <w:t>Discharge of young people with disability from rehabilitation facilities</w:t>
      </w:r>
    </w:p>
    <w:p w:rsidR="006F295E" w:rsidRDefault="006F295E" w:rsidP="009714B9">
      <w:pPr>
        <w:pStyle w:val="BUlletslast"/>
      </w:pPr>
      <w:r>
        <w:t>Pathways into aged care for people aged under 65</w:t>
      </w:r>
    </w:p>
    <w:p w:rsidR="006F295E" w:rsidRPr="006F295E" w:rsidRDefault="006F295E" w:rsidP="008A3FB8">
      <w:pPr>
        <w:pStyle w:val="Heading2"/>
        <w:spacing w:after="60"/>
        <w:rPr>
          <w:color w:val="F59B3F"/>
          <w:lang w:val="en-US"/>
        </w:rPr>
      </w:pPr>
      <w:r w:rsidRPr="006F295E">
        <w:rPr>
          <w:color w:val="F59B3F"/>
          <w:lang w:val="en-US"/>
        </w:rPr>
        <w:lastRenderedPageBreak/>
        <w:t>Competitive Research Grants</w:t>
      </w:r>
    </w:p>
    <w:p w:rsidR="006F295E" w:rsidRDefault="006F295E" w:rsidP="008A3FB8">
      <w:pPr>
        <w:spacing w:line="276" w:lineRule="auto"/>
      </w:pPr>
      <w:r>
        <w:t>In August 2018, the Summer Foundation launched a $1 million Competitive Research Grants program. It aims to help us work with universities and other institutions on research into how to stop young people going in to aged care.</w:t>
      </w:r>
    </w:p>
    <w:p w:rsidR="006F295E" w:rsidRDefault="006F295E" w:rsidP="008A3FB8">
      <w:pPr>
        <w:spacing w:line="276" w:lineRule="auto"/>
      </w:pPr>
      <w:r>
        <w:t>We received applications from 24 institutions and 8 individual researchers who wanted to work with us.</w:t>
      </w:r>
      <w:r w:rsidR="008A3FB8">
        <w:t xml:space="preserve"> </w:t>
      </w:r>
      <w:r>
        <w:t>A panel of independent experts chose 6 projects:</w:t>
      </w:r>
    </w:p>
    <w:p w:rsidR="006F295E" w:rsidRPr="008A3FB8" w:rsidRDefault="006F295E" w:rsidP="008A3FB8">
      <w:pPr>
        <w:pStyle w:val="Heading4"/>
      </w:pPr>
      <w:r w:rsidRPr="008A3FB8">
        <w:t>Pathways of younger people in aged care</w:t>
      </w:r>
    </w:p>
    <w:p w:rsidR="006F295E" w:rsidRPr="008A3FB8" w:rsidRDefault="006F295E" w:rsidP="008A3FB8">
      <w:pPr>
        <w:spacing w:after="60"/>
        <w:rPr>
          <w:b/>
          <w:color w:val="7F7F7F" w:themeColor="text1" w:themeTint="80"/>
        </w:rPr>
      </w:pPr>
      <w:r w:rsidRPr="008A3FB8">
        <w:rPr>
          <w:b/>
          <w:color w:val="7F7F7F" w:themeColor="text1" w:themeTint="80"/>
        </w:rPr>
        <w:t xml:space="preserve">Jenni </w:t>
      </w:r>
      <w:proofErr w:type="spellStart"/>
      <w:r w:rsidRPr="008A3FB8">
        <w:rPr>
          <w:b/>
          <w:color w:val="7F7F7F" w:themeColor="text1" w:themeTint="80"/>
        </w:rPr>
        <w:t>Joenpera</w:t>
      </w:r>
      <w:proofErr w:type="spellEnd"/>
      <w:r w:rsidRPr="008A3FB8">
        <w:rPr>
          <w:b/>
          <w:color w:val="7F7F7F" w:themeColor="text1" w:themeTint="80"/>
        </w:rPr>
        <w:t>, Australian Institute of Health and Welfare.</w:t>
      </w:r>
    </w:p>
    <w:p w:rsidR="006F295E" w:rsidRDefault="006F295E" w:rsidP="008A3FB8">
      <w:r>
        <w:t>Investigates the characteristics, patterns and pathways of people who first entered permanent residential aged care at a younger age.</w:t>
      </w:r>
    </w:p>
    <w:p w:rsidR="006F295E" w:rsidRDefault="006F295E" w:rsidP="008A3FB8">
      <w:pPr>
        <w:pStyle w:val="Heading4"/>
      </w:pPr>
      <w:r>
        <w:t>Health needs and service utilisation of NDIS participants: Data linkage, visualisation and research</w:t>
      </w:r>
    </w:p>
    <w:p w:rsidR="006F295E" w:rsidRPr="008A3FB8" w:rsidRDefault="006F295E" w:rsidP="008A3FB8">
      <w:pPr>
        <w:spacing w:after="60"/>
        <w:rPr>
          <w:b/>
          <w:color w:val="7F7F7F" w:themeColor="text1" w:themeTint="80"/>
        </w:rPr>
      </w:pPr>
      <w:r w:rsidRPr="008A3FB8">
        <w:rPr>
          <w:b/>
          <w:color w:val="7F7F7F" w:themeColor="text1" w:themeTint="80"/>
        </w:rPr>
        <w:t>Associate Professor Chris Pearce, Outcome Health.</w:t>
      </w:r>
    </w:p>
    <w:p w:rsidR="006F295E" w:rsidRDefault="006F295E" w:rsidP="008A3FB8">
      <w:r>
        <w:t xml:space="preserve">Links primary health data and hospital data to </w:t>
      </w:r>
      <w:proofErr w:type="gramStart"/>
      <w:r>
        <w:t>explore  the</w:t>
      </w:r>
      <w:proofErr w:type="gramEnd"/>
      <w:r>
        <w:t xml:space="preserve"> health needs and service utilisation (e.g. GP and hospital) of NDIS participants, including young people in aged care facilities.</w:t>
      </w:r>
    </w:p>
    <w:p w:rsidR="006F295E" w:rsidRPr="008A3FB8" w:rsidRDefault="006F295E" w:rsidP="008A3FB8">
      <w:pPr>
        <w:pStyle w:val="Heading4"/>
      </w:pPr>
      <w:r>
        <w:t xml:space="preserve">Understanding the characteristics of young people in Victorian hospitals who </w:t>
      </w:r>
      <w:r w:rsidRPr="008A3FB8">
        <w:t>are admitted from or discharged to residential aged care</w:t>
      </w:r>
    </w:p>
    <w:p w:rsidR="006F295E" w:rsidRPr="008A3FB8" w:rsidRDefault="006F295E" w:rsidP="008A3FB8">
      <w:pPr>
        <w:spacing w:after="60"/>
        <w:rPr>
          <w:b/>
          <w:color w:val="7F7F7F" w:themeColor="text1" w:themeTint="80"/>
        </w:rPr>
      </w:pPr>
      <w:r w:rsidRPr="008A3FB8">
        <w:rPr>
          <w:b/>
          <w:color w:val="7F7F7F" w:themeColor="text1" w:themeTint="80"/>
        </w:rPr>
        <w:t>Dr Renata Morello, Monash University.</w:t>
      </w:r>
    </w:p>
    <w:p w:rsidR="006F295E" w:rsidRDefault="006F295E" w:rsidP="008A3FB8">
      <w:r>
        <w:t>Uses secondary hospital utilisation data to explore the characteristics and hospital utilisation of young people transferred from residential aged care to hospital, or to residential aged care from hospital.</w:t>
      </w:r>
    </w:p>
    <w:p w:rsidR="006F295E" w:rsidRDefault="006F295E" w:rsidP="008A3FB8">
      <w:pPr>
        <w:pStyle w:val="Heading4"/>
      </w:pPr>
      <w:r>
        <w:t>READY study: Readying hospitalised patients with disability who need NDIS supports for discharge</w:t>
      </w:r>
    </w:p>
    <w:p w:rsidR="006F295E" w:rsidRPr="008A3FB8" w:rsidRDefault="006F295E" w:rsidP="008A3FB8">
      <w:pPr>
        <w:spacing w:after="60"/>
        <w:rPr>
          <w:b/>
          <w:color w:val="7F7F7F" w:themeColor="text1" w:themeTint="80"/>
        </w:rPr>
      </w:pPr>
      <w:r w:rsidRPr="008A3FB8">
        <w:rPr>
          <w:b/>
          <w:color w:val="7F7F7F" w:themeColor="text1" w:themeTint="80"/>
        </w:rPr>
        <w:t>Professor Michele Foster, Griffith University.</w:t>
      </w:r>
    </w:p>
    <w:p w:rsidR="006F295E" w:rsidRDefault="006F295E" w:rsidP="008A3FB8">
      <w:r>
        <w:t>Examines how hospital discharge planning processes interface with NDIS processes and timelines to better understand the complications, risks and outcomes for patients who require NDIS funded supports on discharge.</w:t>
      </w:r>
    </w:p>
    <w:p w:rsidR="006F295E" w:rsidRDefault="006F295E" w:rsidP="008A3FB8">
      <w:pPr>
        <w:pStyle w:val="Heading4"/>
      </w:pPr>
      <w:r>
        <w:t>Understanding the health needs of younger people with disabilities discharged from NSW hospitals to RAC</w:t>
      </w:r>
    </w:p>
    <w:p w:rsidR="006F295E" w:rsidRPr="008A3FB8" w:rsidRDefault="006F295E" w:rsidP="008A3FB8">
      <w:pPr>
        <w:spacing w:after="60"/>
        <w:rPr>
          <w:b/>
          <w:color w:val="7F7F7F" w:themeColor="text1" w:themeTint="80"/>
        </w:rPr>
      </w:pPr>
      <w:r w:rsidRPr="008A3FB8">
        <w:rPr>
          <w:b/>
          <w:color w:val="7F7F7F" w:themeColor="text1" w:themeTint="80"/>
        </w:rPr>
        <w:t xml:space="preserve">Professor Julian </w:t>
      </w:r>
      <w:proofErr w:type="spellStart"/>
      <w:r w:rsidRPr="008A3FB8">
        <w:rPr>
          <w:b/>
          <w:color w:val="7F7F7F" w:themeColor="text1" w:themeTint="80"/>
        </w:rPr>
        <w:t>Trollor</w:t>
      </w:r>
      <w:proofErr w:type="spellEnd"/>
      <w:r w:rsidRPr="008A3FB8">
        <w:rPr>
          <w:b/>
          <w:color w:val="7F7F7F" w:themeColor="text1" w:themeTint="80"/>
        </w:rPr>
        <w:t>, University of New South Wales.</w:t>
      </w:r>
    </w:p>
    <w:p w:rsidR="006F295E" w:rsidRDefault="006F295E" w:rsidP="006F295E">
      <w:r>
        <w:t>Evaluates hospital admissions data to understand the health needs and outcomes of younger people with disabilities who are discharged from hospitals to residential aged care.</w:t>
      </w:r>
    </w:p>
    <w:p w:rsidR="006F295E" w:rsidRDefault="006F295E" w:rsidP="008A3FB8">
      <w:pPr>
        <w:pStyle w:val="Heading4"/>
      </w:pPr>
      <w:r>
        <w:t>PhD Scholarship</w:t>
      </w:r>
    </w:p>
    <w:p w:rsidR="006F295E" w:rsidRPr="008A3FB8" w:rsidRDefault="006F295E" w:rsidP="008A3FB8">
      <w:pPr>
        <w:spacing w:after="60"/>
        <w:rPr>
          <w:b/>
          <w:color w:val="7F7F7F" w:themeColor="text1" w:themeTint="80"/>
        </w:rPr>
      </w:pPr>
      <w:r w:rsidRPr="008A3FB8">
        <w:rPr>
          <w:b/>
          <w:color w:val="7F7F7F" w:themeColor="text1" w:themeTint="80"/>
        </w:rPr>
        <w:t>Simon Guthrie, Macquarie University.</w:t>
      </w:r>
    </w:p>
    <w:p w:rsidR="008A3FB8" w:rsidRDefault="006F295E" w:rsidP="003A0CA8">
      <w:proofErr w:type="spellStart"/>
      <w:r>
        <w:t>Modeling</w:t>
      </w:r>
      <w:proofErr w:type="spellEnd"/>
      <w:r>
        <w:t xml:space="preserve"> the long-term care pathways for people with traumatic brain injury in NSW and Victoria.</w:t>
      </w:r>
      <w:r w:rsidR="008A3FB8">
        <w:br w:type="page"/>
      </w:r>
    </w:p>
    <w:p w:rsidR="008A3FB8" w:rsidRPr="00AB2A87" w:rsidRDefault="008A3FB8" w:rsidP="008A3FB8">
      <w:pPr>
        <w:pStyle w:val="TitleBox"/>
      </w:pPr>
      <w:r w:rsidRPr="00AB2A87">
        <w:lastRenderedPageBreak/>
        <w:t>H</w:t>
      </w:r>
      <w:r>
        <w:t>ighlights</w:t>
      </w:r>
    </w:p>
    <w:p w:rsidR="008A3FB8" w:rsidRDefault="008A3FB8" w:rsidP="008A3FB8">
      <w:pPr>
        <w:pStyle w:val="Heading1"/>
        <w:rPr>
          <w:w w:val="98"/>
        </w:rPr>
      </w:pPr>
      <w:r>
        <w:rPr>
          <w:w w:val="98"/>
        </w:rPr>
        <w:t>GET BUILDING SDA</w:t>
      </w:r>
    </w:p>
    <w:p w:rsidR="008A3FB8" w:rsidRDefault="008A3FB8" w:rsidP="008A3FB8">
      <w:pPr>
        <w:pStyle w:val="Heading4"/>
        <w:spacing w:after="120"/>
      </w:pPr>
      <w:r>
        <w:t xml:space="preserve">The Get Building SDA initiative was launched in September 2018. It’s aim was to provide information, connections and resources to get Australia building more quality housing for people with disability. </w:t>
      </w:r>
    </w:p>
    <w:p w:rsidR="008A3FB8" w:rsidRDefault="008A3FB8" w:rsidP="008A3FB8">
      <w:r>
        <w:t>Get Building SDA is for people looking to build, invest or live in Specialist Disability Accommodation (SDA).</w:t>
      </w:r>
    </w:p>
    <w:p w:rsidR="008A3FB8" w:rsidRDefault="008A3FB8" w:rsidP="008A3FB8">
      <w:r>
        <w:t>Only a fraction of the SDA that is needed across Australia has been built. We estimate that more than 12,000 new SDA places are needed for people with very high support needs who will receive an SDA payment in their NDIS plans.</w:t>
      </w:r>
    </w:p>
    <w:p w:rsidR="008A3FB8" w:rsidRDefault="008A3FB8" w:rsidP="008A3FB8">
      <w:r>
        <w:t>The Summer Foundation partnered with Disability Services Consulting to roll out Get Building SDA in NSW, with the target of getting 75 new SDA builds underway by 2020. It looks like that target will be well and truly exceeded.</w:t>
      </w:r>
    </w:p>
    <w:p w:rsidR="008A3FB8" w:rsidRPr="008A3FB8" w:rsidRDefault="008A3FB8" w:rsidP="008A3FB8">
      <w:pPr>
        <w:rPr>
          <w:rFonts w:ascii="Helvetica Neue Condensed" w:eastAsia="Helvetica Neue" w:hAnsi="Helvetica Neue Condensed" w:cstheme="majorBidi"/>
          <w:b/>
          <w:color w:val="F59B3F"/>
          <w:sz w:val="40"/>
          <w:szCs w:val="40"/>
          <w:lang w:val="en-US"/>
        </w:rPr>
      </w:pPr>
      <w:r w:rsidRPr="008A3FB8">
        <w:rPr>
          <w:rFonts w:ascii="Helvetica Neue Condensed" w:eastAsia="Helvetica Neue" w:hAnsi="Helvetica Neue Condensed" w:cstheme="majorBidi"/>
          <w:b/>
          <w:color w:val="F59B3F"/>
          <w:sz w:val="40"/>
          <w:szCs w:val="40"/>
          <w:lang w:val="en-US"/>
        </w:rPr>
        <w:t>National Conference 2019</w:t>
      </w:r>
    </w:p>
    <w:p w:rsidR="008A3FB8" w:rsidRDefault="008A3FB8" w:rsidP="008A3FB8">
      <w:r>
        <w:t xml:space="preserve">In March 2019, the Summer Foundation partnered with </w:t>
      </w:r>
      <w:proofErr w:type="spellStart"/>
      <w:r>
        <w:t>Youngcare</w:t>
      </w:r>
      <w:proofErr w:type="spellEnd"/>
      <w:r>
        <w:t xml:space="preserve"> to host the Get Building SDA national conference in Melbourne. More than 400 housing providers, housing seekers, policy makers and service providers attended.</w:t>
      </w:r>
    </w:p>
    <w:p w:rsidR="008A3FB8" w:rsidRDefault="008A3FB8" w:rsidP="008A3FB8">
      <w:r>
        <w:t>The impressive line-up of 20 speakers and storytellers shared their knowledge, expertise and experiences.</w:t>
      </w:r>
    </w:p>
    <w:p w:rsidR="008A3FB8" w:rsidRDefault="008A3FB8" w:rsidP="008A3FB8">
      <w:pPr>
        <w:rPr>
          <w:spacing w:val="5"/>
        </w:rPr>
      </w:pPr>
      <w:r>
        <w:rPr>
          <w:spacing w:val="5"/>
        </w:rPr>
        <w:t>At the conference, the Hon Paul Fletcher, then Minister for Families and Social Services, committed the Australian Government to an Action Plan to halve the number of people with disability aged under 65 entering aged care by 2025, improve NDIS processes for young people in aged care, and increase housing options.</w:t>
      </w:r>
    </w:p>
    <w:p w:rsidR="008A3FB8" w:rsidRDefault="008A3FB8" w:rsidP="008A3FB8">
      <w:pPr>
        <w:rPr>
          <w:spacing w:val="5"/>
        </w:rPr>
      </w:pPr>
      <w:r>
        <w:rPr>
          <w:spacing w:val="5"/>
        </w:rPr>
        <w:t>At the conference, the Summer Foundation and Social Ventures Australia also launched the Specialist Disability Accommodation – Supply in Australia report, which identified 1,500 new places in development.</w:t>
      </w:r>
    </w:p>
    <w:p w:rsidR="008A3FB8" w:rsidRDefault="008A3FB8" w:rsidP="008A3FB8">
      <w:r>
        <w:t>We developed a Get Building SDA website that includes a knowledge hub of resources, covering everything from a basic introduction to SDA to tenanting and supporting people in SDA.</w:t>
      </w:r>
    </w:p>
    <w:p w:rsidR="008A3FB8" w:rsidRDefault="008A3FB8" w:rsidP="008A3FB8">
      <w:r>
        <w:t xml:space="preserve">During April 2019, more than 300 housing providers and people with disability attended 5 Connecting NSW events in Sydney, Dubbo, Wagga, Penrith and </w:t>
      </w:r>
      <w:r>
        <w:br/>
        <w:t>Tweed Heads.</w:t>
      </w:r>
    </w:p>
    <w:p w:rsidR="008A3FB8" w:rsidRDefault="008A3FB8" w:rsidP="003A0CA8">
      <w:r>
        <w:t>The events showcased early adopters of SDA, built knowledge about SDA eligibility and created connections between housing providers and people with disability.</w:t>
      </w:r>
      <w:r>
        <w:br w:type="page"/>
      </w:r>
    </w:p>
    <w:p w:rsidR="00C06E69" w:rsidRDefault="008A3FB8" w:rsidP="008A3FB8">
      <w:pPr>
        <w:pStyle w:val="TitleBox"/>
      </w:pPr>
      <w:r>
        <w:lastRenderedPageBreak/>
        <w:t>Achieving her dreams</w:t>
      </w:r>
    </w:p>
    <w:p w:rsidR="008A3FB8" w:rsidRDefault="008A3FB8" w:rsidP="008A3FB8">
      <w:pPr>
        <w:pStyle w:val="Heading4"/>
        <w:spacing w:after="240"/>
      </w:pPr>
      <w:r>
        <w:t xml:space="preserve">Shanais recently moved in to one of the apartments in Summer Housing’s development in Fairfield. Shanais is delighted to be living 7km from </w:t>
      </w:r>
      <w:r>
        <w:br/>
        <w:t>the Melbourne CBD.</w:t>
      </w:r>
    </w:p>
    <w:p w:rsidR="008A3FB8" w:rsidRPr="008A3FB8" w:rsidRDefault="008A3FB8" w:rsidP="008A3FB8">
      <w:pPr>
        <w:rPr>
          <w:b/>
          <w:color w:val="009AD9"/>
        </w:rPr>
      </w:pPr>
      <w:r w:rsidRPr="008A3FB8">
        <w:rPr>
          <w:b/>
        </w:rPr>
        <w:t>Tell us about your journey to independent living?</w:t>
      </w:r>
    </w:p>
    <w:p w:rsidR="008A3FB8" w:rsidRDefault="008A3FB8" w:rsidP="008A3FB8">
      <w:r>
        <w:t xml:space="preserve">After I finished </w:t>
      </w:r>
      <w:proofErr w:type="gramStart"/>
      <w:r>
        <w:t>school</w:t>
      </w:r>
      <w:proofErr w:type="gramEnd"/>
      <w:r>
        <w:t xml:space="preserve"> I began talking with friends about moving out of home and away from our small town in rural NSW.</w:t>
      </w:r>
    </w:p>
    <w:p w:rsidR="008A3FB8" w:rsidRDefault="008A3FB8" w:rsidP="008A3FB8">
      <w:r>
        <w:t>It was hard to find accessible housing and supports for my personal care there. We only had group homes or home care, where people came to your home to help with washing and cooking, but not personal care. I would have had to rely on family for personal care. Getting older this was not an option.</w:t>
      </w:r>
    </w:p>
    <w:p w:rsidR="008A3FB8" w:rsidRDefault="008A3FB8" w:rsidP="008A3FB8">
      <w:r>
        <w:t>I was offered a job in Melbourne. It was a great opportunity but I was wondering how was I going to live in Melbourne. At the same time the NDIS had just come in and I knew it would be possible. It was exciting, I was 22 and a lot more realistic, more aware of my needs, what would work and what wouldn’t work. I hoped it would happen and even though my family didn’t think it was possible, they were encouraging and supportive.</w:t>
      </w:r>
    </w:p>
    <w:p w:rsidR="008A3FB8" w:rsidRDefault="008A3FB8" w:rsidP="008A3FB8">
      <w:r>
        <w:t>Then a colleague at work told me about the Summer Foundation. There happened to be an information session the next day, it was such a good coincidence. The information session was for Summer Housing’s Cheltenham apartments. It was a bit far from my work in Fairfield and then they said we are building one there. I was so excited.</w:t>
      </w:r>
    </w:p>
    <w:p w:rsidR="008A3FB8" w:rsidRPr="008A3FB8" w:rsidRDefault="008A3FB8" w:rsidP="008A3FB8">
      <w:pPr>
        <w:rPr>
          <w:b/>
          <w:color w:val="009AD9"/>
        </w:rPr>
      </w:pPr>
      <w:r w:rsidRPr="008A3FB8">
        <w:rPr>
          <w:b/>
        </w:rPr>
        <w:t>How important were the people around you to achieving your goals?</w:t>
      </w:r>
    </w:p>
    <w:p w:rsidR="008A3FB8" w:rsidRDefault="008A3FB8" w:rsidP="008A3FB8">
      <w:r>
        <w:t>Extremely important, especially Mum. She had moved from NSW to be with me until I found somewhere to live. It was so hard getting the funding for supports to live, then also finding somewhere accessible - more than just a wide doorway and no steps, which is what people think is accessible.</w:t>
      </w:r>
    </w:p>
    <w:p w:rsidR="008A3FB8" w:rsidRDefault="008A3FB8" w:rsidP="008A3FB8">
      <w:r>
        <w:t>Mum did all of my supports, personal care, cleaning cooking and emotional and mental health support. After 2 years it gets really challenging when you haven’t found something. Plenty of times “I said, let’s just move back home.” Mum said</w:t>
      </w:r>
      <w:proofErr w:type="gramStart"/>
      <w:r>
        <w:t>, ”no</w:t>
      </w:r>
      <w:proofErr w:type="gramEnd"/>
      <w:r>
        <w:t xml:space="preserve"> this is what you are entitled to and this is what the NDIS is for.” She was the main one for me.</w:t>
      </w:r>
    </w:p>
    <w:p w:rsidR="008A3FB8" w:rsidRPr="008A3FB8" w:rsidRDefault="008A3FB8" w:rsidP="008A3FB8">
      <w:r>
        <w:t>I had two support coordinators through the journey - both were really good. They reassured me that the NDIS is about living independently and reaching your goals.  I’d reached the goal of working and now needed to live independently.  I’m paying my taxes and I’m paying my bills, I just needed help to continue to do that and live independently in the community.</w:t>
      </w:r>
    </w:p>
    <w:p w:rsidR="008A3FB8" w:rsidRDefault="008A3FB8" w:rsidP="008A3FB8">
      <w:r>
        <w:t>At work they were also really helpful and supportive. I had a lot of meetings and assessments and they were very understanding and flexible and especially with the emotional side.</w:t>
      </w:r>
    </w:p>
    <w:p w:rsidR="008A3FB8" w:rsidRDefault="008A3FB8">
      <w:pPr>
        <w:spacing w:after="0" w:line="240" w:lineRule="auto"/>
        <w:rPr>
          <w:b/>
        </w:rPr>
      </w:pPr>
      <w:r>
        <w:rPr>
          <w:b/>
        </w:rPr>
        <w:br w:type="page"/>
      </w:r>
    </w:p>
    <w:p w:rsidR="008A3FB8" w:rsidRPr="008A3FB8" w:rsidRDefault="008A3FB8" w:rsidP="008A3FB8">
      <w:pPr>
        <w:rPr>
          <w:b/>
        </w:rPr>
      </w:pPr>
      <w:r w:rsidRPr="008A3FB8">
        <w:rPr>
          <w:b/>
        </w:rPr>
        <w:lastRenderedPageBreak/>
        <w:t>How did you feel when you finally moved in to the apartment?</w:t>
      </w:r>
    </w:p>
    <w:p w:rsidR="008A3FB8" w:rsidRDefault="008A3FB8" w:rsidP="008A3FB8">
      <w:r>
        <w:t>So excited, I’m still emotional, I could cry right now. Mum left last week. There are still times when I sit there and go, this is my apartment, I’m not sharing it with Mum or anyone else, it’s mine.</w:t>
      </w:r>
    </w:p>
    <w:p w:rsidR="008A3FB8" w:rsidRDefault="008A3FB8" w:rsidP="008A3FB8">
      <w:r>
        <w:t>I don’t think it felt real until Mum left. The first night I was there by myself I was sad and then I said to myself, don’t be sad, be excited and proud and so grateful. It’s unbelievable.</w:t>
      </w:r>
    </w:p>
    <w:p w:rsidR="008A3FB8" w:rsidRPr="008A3FB8" w:rsidRDefault="008A3FB8" w:rsidP="008A3FB8">
      <w:pPr>
        <w:rPr>
          <w:b/>
        </w:rPr>
      </w:pPr>
      <w:r w:rsidRPr="008A3FB8">
        <w:rPr>
          <w:b/>
        </w:rPr>
        <w:t>What is the best thing about your life now?</w:t>
      </w:r>
    </w:p>
    <w:p w:rsidR="008A3FB8" w:rsidRDefault="008A3FB8" w:rsidP="008A3FB8">
      <w:r>
        <w:t>I’m so happy.</w:t>
      </w:r>
    </w:p>
    <w:p w:rsidR="008A3FB8" w:rsidRDefault="008A3FB8" w:rsidP="008A3FB8">
      <w:r>
        <w:t>The best thing is being 25 and being able to say I have my own place; I live independently and can go out and do what I want to do; have people over to my apartment for dinner or drinks and just knowing it’s my space.</w:t>
      </w:r>
    </w:p>
    <w:p w:rsidR="008A3FB8" w:rsidRDefault="008A3FB8" w:rsidP="008A3FB8">
      <w:r>
        <w:t xml:space="preserve">I know that I’m supported and I’m safe and if something does go </w:t>
      </w:r>
      <w:proofErr w:type="gramStart"/>
      <w:r>
        <w:t>wrong</w:t>
      </w:r>
      <w:proofErr w:type="gramEnd"/>
      <w:r>
        <w:t xml:space="preserve"> I have access to 24/7 support. </w:t>
      </w:r>
      <w:proofErr w:type="gramStart"/>
      <w:r>
        <w:t>It’s</w:t>
      </w:r>
      <w:proofErr w:type="gramEnd"/>
      <w:r>
        <w:t xml:space="preserve"> life changing.</w:t>
      </w:r>
    </w:p>
    <w:p w:rsidR="008A3FB8" w:rsidRPr="008A3FB8" w:rsidRDefault="008A3FB8" w:rsidP="008A3FB8">
      <w:pPr>
        <w:rPr>
          <w:b/>
        </w:rPr>
      </w:pPr>
      <w:r w:rsidRPr="008A3FB8">
        <w:rPr>
          <w:b/>
        </w:rPr>
        <w:t>Do you have any advice for others looking to achieve what you have?</w:t>
      </w:r>
    </w:p>
    <w:p w:rsidR="008A3FB8" w:rsidRDefault="008A3FB8" w:rsidP="008A3FB8">
      <w:r>
        <w:t>In my first NDIS planning meeting I was very softly spoken, I thought being in a wheelchair it was obvious the types of supports I needed. Now I would go into the meeting more outspoken and I would really detail down to the very last detail, like pressing the button on my toothbrush, opening a bottle of water. You really have to be that specific. It was so draining and humiliating – I try to be positive so I hate having to be negative but it is so hard especially having to detail personal care needs.</w:t>
      </w:r>
    </w:p>
    <w:p w:rsidR="008A3FB8" w:rsidRDefault="008A3FB8" w:rsidP="008A3FB8">
      <w:r>
        <w:t>Also seek more information from different organisations so you know what is out there.</w:t>
      </w:r>
    </w:p>
    <w:p w:rsidR="008A3FB8" w:rsidRDefault="008A3FB8" w:rsidP="008A3FB8">
      <w:r>
        <w:t>And hearing about somebody going through this experience and knowing that it can happen would have made it a more optimistic experience.</w:t>
      </w:r>
    </w:p>
    <w:p w:rsidR="008A3FB8" w:rsidRPr="008A3FB8" w:rsidRDefault="008A3FB8" w:rsidP="008A3FB8">
      <w:pPr>
        <w:rPr>
          <w:b/>
        </w:rPr>
      </w:pPr>
      <w:r w:rsidRPr="008A3FB8">
        <w:rPr>
          <w:b/>
        </w:rPr>
        <w:t>How do you feel about what you have achieved?</w:t>
      </w:r>
    </w:p>
    <w:p w:rsidR="008A3FB8" w:rsidRDefault="008A3FB8" w:rsidP="008A3FB8">
      <w:r>
        <w:t>It sounds like a cliché but I’m very proud of what I have achieved, it’s hard for PWD to move away from home and live independently. I’m definitely proud and excited.</w:t>
      </w:r>
    </w:p>
    <w:p w:rsidR="008A3FB8" w:rsidRPr="00F31689" w:rsidRDefault="008A3FB8" w:rsidP="008A3FB8">
      <w:pPr>
        <w:pStyle w:val="Heading1"/>
        <w:rPr>
          <w:rFonts w:eastAsia="Helvetica Neue"/>
          <w:i/>
          <w:color w:val="F59B3F"/>
          <w:sz w:val="40"/>
          <w:szCs w:val="40"/>
          <w:lang w:val="en-US"/>
        </w:rPr>
      </w:pPr>
      <w:r w:rsidRPr="00F31689">
        <w:rPr>
          <w:rFonts w:eastAsia="Helvetica Neue"/>
          <w:i/>
          <w:color w:val="F59B3F"/>
          <w:sz w:val="40"/>
          <w:szCs w:val="40"/>
          <w:lang w:val="en-US"/>
        </w:rPr>
        <w:t>“The last 2 years have been very hard, but I feel like it’s all been for a reason and those challenges help me today to be more positive about the future. If I can do this, I can do anything.”</w:t>
      </w:r>
    </w:p>
    <w:p w:rsidR="008A3FB8" w:rsidRDefault="008A3FB8">
      <w:pPr>
        <w:spacing w:after="0" w:line="240" w:lineRule="auto"/>
        <w:rPr>
          <w:rFonts w:ascii="Helvetica Neue Condensed" w:eastAsia="Helvetica Neue" w:hAnsi="Helvetica Neue Condensed" w:cstheme="majorBidi"/>
          <w:b/>
          <w:color w:val="F59B3F"/>
          <w:sz w:val="40"/>
          <w:szCs w:val="40"/>
          <w:lang w:val="en-US"/>
        </w:rPr>
      </w:pPr>
      <w:r>
        <w:rPr>
          <w:rFonts w:eastAsia="Helvetica Neue"/>
          <w:color w:val="F59B3F"/>
          <w:sz w:val="40"/>
          <w:szCs w:val="40"/>
          <w:lang w:val="en-US"/>
        </w:rPr>
        <w:br w:type="page"/>
      </w:r>
    </w:p>
    <w:p w:rsidR="00F302D5" w:rsidRPr="00F302D5" w:rsidRDefault="003A0CA8" w:rsidP="003A0CA8">
      <w:pPr>
        <w:pStyle w:val="TitleBox"/>
        <w:rPr>
          <w:lang w:val="en-US"/>
        </w:rPr>
      </w:pPr>
      <w:r>
        <w:rPr>
          <w:lang w:val="en-US"/>
        </w:rPr>
        <w:lastRenderedPageBreak/>
        <w:t>B</w:t>
      </w:r>
      <w:r w:rsidRPr="00F302D5">
        <w:rPr>
          <w:lang w:val="en-US"/>
        </w:rPr>
        <w:t>reaking out of the box</w:t>
      </w:r>
    </w:p>
    <w:p w:rsidR="003A0CA8" w:rsidRDefault="003A0CA8" w:rsidP="003A0CA8">
      <w:pPr>
        <w:pStyle w:val="Heading4"/>
        <w:spacing w:after="240"/>
      </w:pPr>
      <w:r>
        <w:t xml:space="preserve">Lisa is 43 and has been living in aged care for more than 6 years. She has recently been approved for Specialist Disability Accommodation funding in her NDIS plan and is working towards moving to her own apartment. </w:t>
      </w:r>
    </w:p>
    <w:p w:rsidR="003A0CA8" w:rsidRPr="00F31689" w:rsidRDefault="003A0CA8" w:rsidP="003A0CA8">
      <w:pPr>
        <w:pStyle w:val="contents"/>
        <w:spacing w:after="454"/>
        <w:ind w:left="567"/>
        <w:rPr>
          <w:rFonts w:ascii="Helvetica Neue Condensed" w:eastAsia="Helvetica Neue" w:hAnsi="Helvetica Neue Condensed" w:cstheme="majorBidi"/>
          <w:b/>
          <w:i/>
          <w:color w:val="F59B3F"/>
          <w:spacing w:val="0"/>
          <w:sz w:val="40"/>
          <w:szCs w:val="40"/>
        </w:rPr>
      </w:pPr>
      <w:r w:rsidRPr="00F31689">
        <w:rPr>
          <w:rFonts w:ascii="Helvetica Neue Condensed" w:eastAsia="Helvetica Neue" w:hAnsi="Helvetica Neue Condensed" w:cstheme="majorBidi"/>
          <w:b/>
          <w:i/>
          <w:color w:val="F59B3F"/>
          <w:spacing w:val="0"/>
          <w:sz w:val="40"/>
          <w:szCs w:val="40"/>
        </w:rPr>
        <w:t xml:space="preserve">“I want to be independent again – my independence has been stolen from me </w:t>
      </w:r>
      <w:r w:rsidR="00F31689">
        <w:rPr>
          <w:rFonts w:ascii="Helvetica Neue Condensed" w:eastAsia="Helvetica Neue" w:hAnsi="Helvetica Neue Condensed" w:cstheme="majorBidi"/>
          <w:b/>
          <w:i/>
          <w:color w:val="F59B3F"/>
          <w:spacing w:val="0"/>
          <w:sz w:val="40"/>
          <w:szCs w:val="40"/>
        </w:rPr>
        <w:br/>
      </w:r>
      <w:r w:rsidRPr="00F31689">
        <w:rPr>
          <w:rFonts w:ascii="Helvetica Neue Condensed" w:eastAsia="Helvetica Neue" w:hAnsi="Helvetica Neue Condensed" w:cstheme="majorBidi"/>
          <w:b/>
          <w:i/>
          <w:color w:val="F59B3F"/>
          <w:spacing w:val="0"/>
          <w:sz w:val="40"/>
          <w:szCs w:val="40"/>
        </w:rPr>
        <w:t xml:space="preserve">and put in a box – I will be free again and </w:t>
      </w:r>
      <w:r w:rsidR="00F31689">
        <w:rPr>
          <w:rFonts w:ascii="Helvetica Neue Condensed" w:eastAsia="Helvetica Neue" w:hAnsi="Helvetica Neue Condensed" w:cstheme="majorBidi"/>
          <w:b/>
          <w:i/>
          <w:color w:val="F59B3F"/>
          <w:spacing w:val="0"/>
          <w:sz w:val="40"/>
          <w:szCs w:val="40"/>
        </w:rPr>
        <w:br/>
      </w:r>
      <w:r w:rsidRPr="00F31689">
        <w:rPr>
          <w:rFonts w:ascii="Helvetica Neue Condensed" w:eastAsia="Helvetica Neue" w:hAnsi="Helvetica Neue Condensed" w:cstheme="majorBidi"/>
          <w:b/>
          <w:i/>
          <w:color w:val="F59B3F"/>
          <w:spacing w:val="0"/>
          <w:sz w:val="40"/>
          <w:szCs w:val="40"/>
        </w:rPr>
        <w:t>a normal person.”</w:t>
      </w:r>
    </w:p>
    <w:p w:rsidR="003A0CA8" w:rsidRPr="003A0CA8" w:rsidRDefault="003A0CA8" w:rsidP="003A0CA8">
      <w:pPr>
        <w:rPr>
          <w:b/>
          <w:color w:val="2BD1FF"/>
        </w:rPr>
      </w:pPr>
      <w:r w:rsidRPr="003A0CA8">
        <w:rPr>
          <w:b/>
        </w:rPr>
        <w:t>Tell us about your experience trying to get SDA?</w:t>
      </w:r>
    </w:p>
    <w:p w:rsidR="003A0CA8" w:rsidRDefault="003A0CA8" w:rsidP="003A0CA8">
      <w:pPr>
        <w:spacing w:line="300" w:lineRule="auto"/>
      </w:pPr>
      <w:r>
        <w:t>It’s been hard. I had to apply for the funding in my NDIS plan – I changed the first goal in my NDIS plan to be to move out of the nursing home in to my own home. My support worker found out about this Specialised Disability Accommodation (SDA) from the Summer Foundation web page.</w:t>
      </w:r>
    </w:p>
    <w:p w:rsidR="003A0CA8" w:rsidRPr="003A0CA8" w:rsidRDefault="003A0CA8" w:rsidP="003A0CA8">
      <w:pPr>
        <w:spacing w:line="300" w:lineRule="auto"/>
        <w:rPr>
          <w:b/>
        </w:rPr>
      </w:pPr>
      <w:r w:rsidRPr="003A0CA8">
        <w:rPr>
          <w:b/>
        </w:rPr>
        <w:t xml:space="preserve">What will the SDA funding mean for you? </w:t>
      </w:r>
    </w:p>
    <w:p w:rsidR="003A0CA8" w:rsidRDefault="003A0CA8" w:rsidP="003A0CA8">
      <w:pPr>
        <w:spacing w:line="300" w:lineRule="auto"/>
      </w:pPr>
      <w:r>
        <w:t xml:space="preserve">It’s a miracle. I had a call to say I had an apartment and I said I was stoked, so I had to get SDA in my plan. I was determined to get it in my plan. It was a lot of stress on me because I didn’t know how to go about it. But I’ve got some supportive people around me who helped </w:t>
      </w:r>
      <w:r>
        <w:br/>
        <w:t>to get all the paperwork done.</w:t>
      </w:r>
    </w:p>
    <w:p w:rsidR="003A0CA8" w:rsidRDefault="003A0CA8" w:rsidP="003A0CA8">
      <w:pPr>
        <w:spacing w:line="300" w:lineRule="auto"/>
      </w:pPr>
      <w:r>
        <w:t>I couldn’t believe it when I got SDA in my plan.</w:t>
      </w:r>
    </w:p>
    <w:p w:rsidR="003A0CA8" w:rsidRPr="003A0CA8" w:rsidRDefault="003A0CA8" w:rsidP="003A0CA8">
      <w:pPr>
        <w:spacing w:line="300" w:lineRule="auto"/>
        <w:rPr>
          <w:b/>
        </w:rPr>
      </w:pPr>
      <w:r w:rsidRPr="003A0CA8">
        <w:rPr>
          <w:b/>
        </w:rPr>
        <w:t>What are the things you dislike most about living in aged care?</w:t>
      </w:r>
    </w:p>
    <w:p w:rsidR="003A0CA8" w:rsidRDefault="003A0CA8" w:rsidP="003A0CA8">
      <w:pPr>
        <w:spacing w:line="300" w:lineRule="auto"/>
      </w:pPr>
      <w:r>
        <w:t>My personal care – they never shower me properly and won’t listen.</w:t>
      </w:r>
    </w:p>
    <w:p w:rsidR="003A0CA8" w:rsidRDefault="003A0CA8" w:rsidP="003A0CA8">
      <w:pPr>
        <w:spacing w:line="300" w:lineRule="auto"/>
      </w:pPr>
      <w:r>
        <w:t>The food – mashed potatoes and carrots and peas, because I’m vegetarian. They would leave a bit of meat there that looks like s***.</w:t>
      </w:r>
    </w:p>
    <w:p w:rsidR="00F31689" w:rsidRDefault="003A0CA8" w:rsidP="003A0CA8">
      <w:pPr>
        <w:spacing w:line="300" w:lineRule="auto"/>
      </w:pPr>
      <w:r>
        <w:t>The screaming and crying – it’s all the time…psychologically it has affected me. It makes me anxious to hear the screaming. One lady always cries and I hear what she is saying but the staff just don’t understand that she is saying she has a headache and wants a Panadol. I can’t categorise them as 1, 2 and 3 – they are all equally bad.</w:t>
      </w:r>
    </w:p>
    <w:p w:rsidR="00F31689" w:rsidRDefault="00F31689">
      <w:pPr>
        <w:spacing w:after="0" w:line="240" w:lineRule="auto"/>
      </w:pPr>
      <w:r>
        <w:br w:type="page"/>
      </w:r>
    </w:p>
    <w:p w:rsidR="003A0CA8" w:rsidRPr="003A0CA8" w:rsidRDefault="003A0CA8" w:rsidP="003A0CA8">
      <w:pPr>
        <w:spacing w:line="300" w:lineRule="auto"/>
        <w:rPr>
          <w:b/>
        </w:rPr>
      </w:pPr>
      <w:r w:rsidRPr="003A0CA8">
        <w:rPr>
          <w:b/>
        </w:rPr>
        <w:lastRenderedPageBreak/>
        <w:t>What advice do you have for others who are living in aged care and want to move out?</w:t>
      </w:r>
    </w:p>
    <w:p w:rsidR="003A0CA8" w:rsidRDefault="003A0CA8" w:rsidP="003A0CA8">
      <w:pPr>
        <w:spacing w:line="300" w:lineRule="auto"/>
      </w:pPr>
      <w:r>
        <w:t>Get help first and get the f*** out. I never knew how to get help so I just put up with it. The help came from my speech therapist who contacted the Summer Foundation and that’s about a year ago. I didn’t believe it would happen. Now I hear stories from other people…it was like what I’m going through. Now I believe it will happen.</w:t>
      </w:r>
    </w:p>
    <w:p w:rsidR="003A0CA8" w:rsidRPr="003A0CA8" w:rsidRDefault="003A0CA8" w:rsidP="003A0CA8">
      <w:pPr>
        <w:spacing w:line="300" w:lineRule="auto"/>
        <w:rPr>
          <w:b/>
        </w:rPr>
      </w:pPr>
      <w:r w:rsidRPr="003A0CA8">
        <w:rPr>
          <w:b/>
        </w:rPr>
        <w:t>What are you looking forward to most about moving out of aged care?</w:t>
      </w:r>
    </w:p>
    <w:p w:rsidR="003A0CA8" w:rsidRDefault="003A0CA8" w:rsidP="003A0CA8">
      <w:pPr>
        <w:spacing w:line="300" w:lineRule="auto"/>
      </w:pPr>
      <w:r>
        <w:t>I want to be independent again – my independence has been stolen from me and put in a box – I will be free again and a normal person.</w:t>
      </w:r>
    </w:p>
    <w:p w:rsidR="003A0CA8" w:rsidRDefault="003A0CA8" w:rsidP="003A0CA8">
      <w:pPr>
        <w:spacing w:line="300" w:lineRule="auto"/>
      </w:pPr>
      <w:r>
        <w:t>My independence is important to me, like having a choice on what I’m wearing – I haven’t had that option until the NDIS came and I got more supports. And I appreciate it very much. It just the little things – no yelling and crying. I will be safe in my new home.</w:t>
      </w:r>
    </w:p>
    <w:p w:rsidR="003A0CA8" w:rsidRDefault="003A0CA8" w:rsidP="003A0CA8">
      <w:r>
        <w:t xml:space="preserve">I’ve got a lot of stuff here and I can’t buy </w:t>
      </w:r>
      <w:proofErr w:type="spellStart"/>
      <w:r>
        <w:t>any more</w:t>
      </w:r>
      <w:proofErr w:type="spellEnd"/>
      <w:r>
        <w:t xml:space="preserve"> because my room’s exploding – the nurses whinge I have too much stuff.</w:t>
      </w:r>
    </w:p>
    <w:p w:rsidR="008A3FB8" w:rsidRDefault="003A0CA8" w:rsidP="003A0CA8">
      <w:r>
        <w:t>The food when I move out will be my choice – my choice has been taken away for so long sometimes I even struggle to know what I want. It’s hard to remember that I do know what I like.</w:t>
      </w:r>
    </w:p>
    <w:p w:rsidR="003A0CA8" w:rsidRPr="003A0CA8" w:rsidRDefault="003A0CA8" w:rsidP="003A0CA8">
      <w:pPr>
        <w:pStyle w:val="contents"/>
        <w:spacing w:after="454"/>
        <w:ind w:left="567"/>
        <w:rPr>
          <w:rFonts w:ascii="Helvetica Neue Condensed" w:eastAsia="Helvetica Neue" w:hAnsi="Helvetica Neue Condensed" w:cstheme="majorBidi"/>
          <w:b/>
          <w:i/>
          <w:color w:val="F59B3F"/>
          <w:spacing w:val="0"/>
          <w:sz w:val="40"/>
          <w:szCs w:val="40"/>
        </w:rPr>
      </w:pPr>
      <w:r w:rsidRPr="003A0CA8">
        <w:rPr>
          <w:rFonts w:ascii="Helvetica Neue Condensed" w:eastAsia="Helvetica Neue" w:hAnsi="Helvetica Neue Condensed" w:cstheme="majorBidi"/>
          <w:b/>
          <w:i/>
          <w:color w:val="F59B3F"/>
          <w:spacing w:val="0"/>
          <w:sz w:val="40"/>
          <w:szCs w:val="40"/>
        </w:rPr>
        <w:t>“...my choice has been taken away for so long sometimes I even struggle to know what I want. It’s hard to remember that</w:t>
      </w:r>
      <w:r>
        <w:rPr>
          <w:rFonts w:ascii="Helvetica Neue Condensed" w:eastAsia="Helvetica Neue" w:hAnsi="Helvetica Neue Condensed" w:cstheme="majorBidi"/>
          <w:b/>
          <w:i/>
          <w:color w:val="F59B3F"/>
          <w:spacing w:val="0"/>
          <w:sz w:val="40"/>
          <w:szCs w:val="40"/>
        </w:rPr>
        <w:br/>
      </w:r>
      <w:r w:rsidRPr="003A0CA8">
        <w:rPr>
          <w:rFonts w:ascii="Helvetica Neue Condensed" w:eastAsia="Helvetica Neue" w:hAnsi="Helvetica Neue Condensed" w:cstheme="majorBidi"/>
          <w:b/>
          <w:i/>
          <w:color w:val="F59B3F"/>
          <w:spacing w:val="0"/>
          <w:sz w:val="40"/>
          <w:szCs w:val="40"/>
        </w:rPr>
        <w:t>I do know what I like...”</w:t>
      </w:r>
    </w:p>
    <w:p w:rsidR="003A0CA8" w:rsidRDefault="003A0CA8">
      <w:pPr>
        <w:spacing w:after="0" w:line="240" w:lineRule="auto"/>
        <w:rPr>
          <w:rFonts w:ascii="Helvetica Neue Condensed" w:eastAsia="Helvetica Neue" w:hAnsi="Helvetica Neue Condensed" w:cstheme="majorBidi"/>
          <w:b/>
          <w:color w:val="F59B3F"/>
          <w:sz w:val="40"/>
          <w:szCs w:val="40"/>
          <w:lang w:val="en-US"/>
        </w:rPr>
      </w:pPr>
      <w:r>
        <w:rPr>
          <w:rFonts w:ascii="Helvetica Neue Condensed" w:eastAsia="Helvetica Neue" w:hAnsi="Helvetica Neue Condensed" w:cstheme="majorBidi"/>
          <w:b/>
          <w:color w:val="F59B3F"/>
          <w:sz w:val="40"/>
          <w:szCs w:val="40"/>
        </w:rPr>
        <w:br w:type="page"/>
      </w:r>
    </w:p>
    <w:p w:rsidR="003A0CA8" w:rsidRPr="003A0CA8" w:rsidRDefault="003A0CA8" w:rsidP="003A0CA8">
      <w:pPr>
        <w:pStyle w:val="TitleBox"/>
        <w:rPr>
          <w:lang w:val="en-US"/>
        </w:rPr>
      </w:pPr>
      <w:r>
        <w:rPr>
          <w:b w:val="0"/>
          <w:lang w:val="en-US"/>
        </w:rPr>
        <w:lastRenderedPageBreak/>
        <w:t>E</w:t>
      </w:r>
      <w:r w:rsidRPr="003A0CA8">
        <w:rPr>
          <w:b w:val="0"/>
          <w:lang w:val="en-US"/>
        </w:rPr>
        <w:t>very story</w:t>
      </w:r>
      <w:r w:rsidRPr="003A0CA8">
        <w:rPr>
          <w:lang w:val="en-US"/>
        </w:rPr>
        <w:t xml:space="preserve"> ma</w:t>
      </w:r>
      <w:r w:rsidRPr="003A0CA8">
        <w:rPr>
          <w:b w:val="0"/>
          <w:lang w:val="en-US"/>
        </w:rPr>
        <w:t>tte</w:t>
      </w:r>
      <w:r w:rsidRPr="003A0CA8">
        <w:rPr>
          <w:lang w:val="en-US"/>
        </w:rPr>
        <w:t>rs</w:t>
      </w:r>
    </w:p>
    <w:p w:rsidR="003A0CA8" w:rsidRPr="003A0CA8" w:rsidRDefault="003A0CA8" w:rsidP="003A0CA8">
      <w:pPr>
        <w:pStyle w:val="Heading4"/>
        <w:spacing w:after="240"/>
      </w:pPr>
      <w:r w:rsidRPr="003A0CA8">
        <w:t>Jessica explains how our workshops helped her tell the Aged Care Royal Commission about her experience with her husband, aged under 65, in residential aged care.</w:t>
      </w:r>
    </w:p>
    <w:p w:rsidR="003A0CA8" w:rsidRPr="003A0CA8" w:rsidRDefault="003A0CA8" w:rsidP="003A0CA8">
      <w:pPr>
        <w:rPr>
          <w:b/>
          <w:color w:val="2BD1FF"/>
        </w:rPr>
      </w:pPr>
      <w:r w:rsidRPr="003A0CA8">
        <w:rPr>
          <w:b/>
        </w:rPr>
        <w:t>What motivated you to attend the Summer Foundation’s workshop to help people prepare submissions to the Aged Care Royal Commission?</w:t>
      </w:r>
    </w:p>
    <w:p w:rsidR="003A0CA8" w:rsidRDefault="003A0CA8" w:rsidP="003A0CA8">
      <w:r>
        <w:t>I first heard of the Summer Foundation back in 2013 when I was doing an honours thesis project for my undergraduate degree around the topic of young adult survivors of stroke and their experience in residential care. By young adults, I mean people less than 65 years of age.</w:t>
      </w:r>
    </w:p>
    <w:p w:rsidR="003A0CA8" w:rsidRDefault="003A0CA8" w:rsidP="003A0CA8">
      <w:r>
        <w:t xml:space="preserve">I had signed up for newsletters from the Summer Foundation and I regularly receive emails from them. One email that particularly caught my eye was one about an upcoming workshop to be held in February 2019 (in Newcastle) to assist people with preparing a submission to the Royal Commission into Aged Care. </w:t>
      </w:r>
    </w:p>
    <w:p w:rsidR="003A0CA8" w:rsidRDefault="003A0CA8" w:rsidP="003A0CA8">
      <w:r>
        <w:t xml:space="preserve">At the time I was hesitant about whether I should tell my story, however in the email it had stated that “every story </w:t>
      </w:r>
      <w:proofErr w:type="gramStart"/>
      <w:r>
        <w:t>matters</w:t>
      </w:r>
      <w:proofErr w:type="gramEnd"/>
      <w:r>
        <w:t>” and that they were open to hearing from people with personal experiences. Although I didn’t have direct experience living in aged care, I had been a carer for my husband who eventually had to enter residential aged care (RAC) in August 2018, when he was under the age of 65, due to terminal cancer. I responded to the email and was encouraged to come along and share my story.</w:t>
      </w:r>
    </w:p>
    <w:p w:rsidR="003A0CA8" w:rsidRPr="003A0CA8" w:rsidRDefault="003A0CA8" w:rsidP="003A0CA8">
      <w:pPr>
        <w:rPr>
          <w:b/>
          <w:color w:val="2BD1FF"/>
        </w:rPr>
      </w:pPr>
      <w:r w:rsidRPr="003A0CA8">
        <w:rPr>
          <w:b/>
        </w:rPr>
        <w:t>Was there a compelling message you felt the Royal Commission needed to hear?</w:t>
      </w:r>
    </w:p>
    <w:p w:rsidR="003A0CA8" w:rsidRDefault="003A0CA8" w:rsidP="003A0CA8">
      <w:r>
        <w:t xml:space="preserve">My experience of placing my husband into residential care was out of necessity because there were no other age appropriate places for him to be cared for at the end of his life. A great deal of the frustration I feel towards the aged care facility where he was cared for is because I feel there isn’t enough registered nurses for each patient to ensure people get their care in a timely way. </w:t>
      </w:r>
    </w:p>
    <w:p w:rsidR="003A0CA8" w:rsidRDefault="003A0CA8" w:rsidP="003A0CA8">
      <w:r>
        <w:t>I know my husband needed pain relief and he was asking for it himself, so I had to keep on top of that, even when he was in RAC and was often waiting up to 2 hours for there to be 2 nurses to be able to administer the medication that he required for his pain relief at the end of his life. To me it seems more a systemic issue that needs to be addressed with changes to legislation that governs appropriate registered nurse to patient ratios in not just RAC but also hospitals, hospices and other facilities in which people have their care needs met by professionals.</w:t>
      </w:r>
    </w:p>
    <w:p w:rsidR="003A0CA8" w:rsidRDefault="003A0CA8">
      <w:pPr>
        <w:spacing w:after="0" w:line="240" w:lineRule="auto"/>
        <w:rPr>
          <w:b/>
        </w:rPr>
      </w:pPr>
      <w:r>
        <w:rPr>
          <w:b/>
        </w:rPr>
        <w:br w:type="page"/>
      </w:r>
    </w:p>
    <w:p w:rsidR="003A0CA8" w:rsidRPr="003A0CA8" w:rsidRDefault="003A0CA8" w:rsidP="003A0CA8">
      <w:pPr>
        <w:rPr>
          <w:b/>
          <w:color w:val="2BD1FF"/>
        </w:rPr>
      </w:pPr>
      <w:r w:rsidRPr="003A0CA8">
        <w:rPr>
          <w:b/>
        </w:rPr>
        <w:lastRenderedPageBreak/>
        <w:t>Would you have made a submission if you had not gone to the workshop?</w:t>
      </w:r>
    </w:p>
    <w:p w:rsidR="003A0CA8" w:rsidRDefault="003A0CA8" w:rsidP="003A0CA8">
      <w:r>
        <w:t xml:space="preserve">To be honest, I probably wouldn’t have had the courage to do this without the help of someone else. For me, placing my husband into RAC was one of the hardest decisions in my life so far. I felt so unhappy with the decision to move him into RAC, however knew it was the only option available to me at the time. </w:t>
      </w:r>
    </w:p>
    <w:p w:rsidR="003A0CA8" w:rsidRDefault="003A0CA8" w:rsidP="003A0CA8">
      <w:r>
        <w:t xml:space="preserve">When the Summer Foundation was in my local area, it had only been 5 months since my husband had died. I became widowed at only 31 years of age. Widowhood is a life changing milestone that most people don’t go through until much later in life. My young age further served to make me feel isolated when I was visiting my husband in RAC. I felt I was the only young person who was visiting her spouse in a place young people shouldn’t have to be. </w:t>
      </w:r>
    </w:p>
    <w:p w:rsidR="003A0CA8" w:rsidRDefault="003A0CA8" w:rsidP="003A0CA8">
      <w:r>
        <w:t>The raw emotion I felt from losing my husband and placing him in RAC made it difficult for me to get my words on paper. I am very grateful for the Summer Foundation for helping me put something together for the Royal Commission as I feel I wouldn’t have had the strength to do this on my own.</w:t>
      </w:r>
    </w:p>
    <w:p w:rsidR="003A0CA8" w:rsidRPr="003A0CA8" w:rsidRDefault="003A0CA8" w:rsidP="003A0CA8">
      <w:pPr>
        <w:rPr>
          <w:b/>
          <w:color w:val="2BD1FF"/>
        </w:rPr>
      </w:pPr>
      <w:r w:rsidRPr="003A0CA8">
        <w:rPr>
          <w:b/>
        </w:rPr>
        <w:t>Did you get any feedback from the Royal Commission to your submission?</w:t>
      </w:r>
    </w:p>
    <w:p w:rsidR="003A0CA8" w:rsidRDefault="003A0CA8" w:rsidP="003A0CA8">
      <w:r>
        <w:t>Yes. I have been contacted by the Office Assisting the Royal Commission. They felt deeply impacted by my story and I have been invited to give evidence at the Royal Commission into Aged Care Quality and Safety as a witness in Melbourne in September 2019.</w:t>
      </w:r>
      <w:r w:rsidR="00F31689">
        <w:br/>
      </w:r>
    </w:p>
    <w:p w:rsidR="003A0CA8" w:rsidRPr="00F31689" w:rsidRDefault="00F31689" w:rsidP="003A0CA8">
      <w:pPr>
        <w:pStyle w:val="contents"/>
        <w:spacing w:after="283"/>
        <w:ind w:left="567"/>
        <w:rPr>
          <w:rFonts w:ascii="Helvetica Neue Condensed" w:eastAsia="Helvetica Neue" w:hAnsi="Helvetica Neue Condensed" w:cstheme="majorBidi"/>
          <w:b/>
          <w:i/>
          <w:color w:val="F59B3F"/>
          <w:spacing w:val="0"/>
          <w:sz w:val="40"/>
          <w:szCs w:val="40"/>
        </w:rPr>
      </w:pPr>
      <w:r>
        <w:rPr>
          <w:rFonts w:ascii="Helvetica Neue Condensed" w:eastAsia="Helvetica Neue" w:hAnsi="Helvetica Neue Condensed" w:cstheme="majorBidi"/>
          <w:b/>
          <w:i/>
          <w:color w:val="F59B3F"/>
          <w:spacing w:val="0"/>
          <w:sz w:val="40"/>
          <w:szCs w:val="40"/>
        </w:rPr>
        <w:t>“</w:t>
      </w:r>
      <w:r w:rsidR="003A0CA8" w:rsidRPr="00F31689">
        <w:rPr>
          <w:rFonts w:ascii="Helvetica Neue Condensed" w:eastAsia="Helvetica Neue" w:hAnsi="Helvetica Neue Condensed" w:cstheme="majorBidi"/>
          <w:b/>
          <w:i/>
          <w:color w:val="F59B3F"/>
          <w:spacing w:val="0"/>
          <w:sz w:val="40"/>
          <w:szCs w:val="40"/>
        </w:rPr>
        <w:t xml:space="preserve">The raw emotion I </w:t>
      </w:r>
      <w:r>
        <w:rPr>
          <w:rFonts w:ascii="Helvetica Neue Condensed" w:eastAsia="Helvetica Neue" w:hAnsi="Helvetica Neue Condensed" w:cstheme="majorBidi"/>
          <w:b/>
          <w:i/>
          <w:color w:val="F59B3F"/>
          <w:spacing w:val="0"/>
          <w:sz w:val="40"/>
          <w:szCs w:val="40"/>
        </w:rPr>
        <w:t>felt</w:t>
      </w:r>
      <w:r w:rsidR="003A0CA8" w:rsidRPr="00F31689">
        <w:rPr>
          <w:rFonts w:ascii="Helvetica Neue Condensed" w:eastAsia="Helvetica Neue" w:hAnsi="Helvetica Neue Condensed" w:cstheme="majorBidi"/>
          <w:b/>
          <w:i/>
          <w:color w:val="F59B3F"/>
          <w:spacing w:val="0"/>
          <w:sz w:val="40"/>
          <w:szCs w:val="40"/>
        </w:rPr>
        <w:t>......</w:t>
      </w:r>
      <w:r>
        <w:rPr>
          <w:rFonts w:ascii="Helvetica Neue Condensed" w:eastAsia="Helvetica Neue" w:hAnsi="Helvetica Neue Condensed" w:cstheme="majorBidi"/>
          <w:b/>
          <w:i/>
          <w:color w:val="F59B3F"/>
          <w:spacing w:val="0"/>
          <w:sz w:val="40"/>
          <w:szCs w:val="40"/>
        </w:rPr>
        <w:t>m</w:t>
      </w:r>
      <w:r w:rsidR="003A0CA8" w:rsidRPr="00F31689">
        <w:rPr>
          <w:rFonts w:ascii="Helvetica Neue Condensed" w:eastAsia="Helvetica Neue" w:hAnsi="Helvetica Neue Condensed" w:cstheme="majorBidi"/>
          <w:b/>
          <w:i/>
          <w:color w:val="F59B3F"/>
          <w:spacing w:val="0"/>
          <w:sz w:val="40"/>
          <w:szCs w:val="40"/>
        </w:rPr>
        <w:t xml:space="preserve">ade it difficult for me to get my words on paper. I am very grateful for the Summer Foundation </w:t>
      </w:r>
      <w:r w:rsidR="003A0CA8" w:rsidRPr="00F31689">
        <w:rPr>
          <w:rFonts w:ascii="Helvetica Neue Condensed" w:eastAsia="Helvetica Neue" w:hAnsi="Helvetica Neue Condensed" w:cstheme="majorBidi"/>
          <w:b/>
          <w:i/>
          <w:color w:val="F59B3F"/>
          <w:spacing w:val="0"/>
          <w:sz w:val="40"/>
          <w:szCs w:val="40"/>
        </w:rPr>
        <w:br/>
        <w:t xml:space="preserve">for helping me put something together.  </w:t>
      </w:r>
    </w:p>
    <w:p w:rsidR="003A0CA8" w:rsidRPr="00F31689" w:rsidRDefault="003A0CA8" w:rsidP="003A0CA8">
      <w:pPr>
        <w:pStyle w:val="contents"/>
        <w:spacing w:after="454"/>
        <w:ind w:left="567"/>
        <w:rPr>
          <w:rFonts w:ascii="Helvetica Neue Condensed" w:eastAsia="Helvetica Neue" w:hAnsi="Helvetica Neue Condensed" w:cstheme="majorBidi"/>
          <w:b/>
          <w:i/>
          <w:color w:val="F59B3F"/>
          <w:spacing w:val="0"/>
          <w:sz w:val="40"/>
          <w:szCs w:val="40"/>
        </w:rPr>
      </w:pPr>
      <w:r w:rsidRPr="00F31689">
        <w:rPr>
          <w:rFonts w:ascii="Helvetica Neue Condensed" w:eastAsia="Helvetica Neue" w:hAnsi="Helvetica Neue Condensed" w:cstheme="majorBidi"/>
          <w:b/>
          <w:i/>
          <w:color w:val="F59B3F"/>
          <w:spacing w:val="0"/>
          <w:sz w:val="40"/>
          <w:szCs w:val="40"/>
        </w:rPr>
        <w:t xml:space="preserve">I feel I wouldn’t have had the strength </w:t>
      </w:r>
      <w:r w:rsidR="00F31689">
        <w:rPr>
          <w:rFonts w:ascii="Helvetica Neue Condensed" w:eastAsia="Helvetica Neue" w:hAnsi="Helvetica Neue Condensed" w:cstheme="majorBidi"/>
          <w:b/>
          <w:i/>
          <w:color w:val="F59B3F"/>
          <w:spacing w:val="0"/>
          <w:sz w:val="40"/>
          <w:szCs w:val="40"/>
        </w:rPr>
        <w:br/>
      </w:r>
      <w:r w:rsidRPr="00F31689">
        <w:rPr>
          <w:rFonts w:ascii="Helvetica Neue Condensed" w:eastAsia="Helvetica Neue" w:hAnsi="Helvetica Neue Condensed" w:cstheme="majorBidi"/>
          <w:b/>
          <w:i/>
          <w:color w:val="F59B3F"/>
          <w:spacing w:val="0"/>
          <w:sz w:val="40"/>
          <w:szCs w:val="40"/>
        </w:rPr>
        <w:t>to do this on my own.</w:t>
      </w:r>
      <w:r w:rsidR="00F31689">
        <w:rPr>
          <w:rFonts w:ascii="Helvetica Neue Condensed" w:eastAsia="Helvetica Neue" w:hAnsi="Helvetica Neue Condensed" w:cstheme="majorBidi"/>
          <w:b/>
          <w:i/>
          <w:color w:val="F59B3F"/>
          <w:spacing w:val="0"/>
          <w:sz w:val="40"/>
          <w:szCs w:val="40"/>
        </w:rPr>
        <w:t>”</w:t>
      </w:r>
    </w:p>
    <w:p w:rsidR="00F31689" w:rsidRDefault="00F31689">
      <w:pPr>
        <w:spacing w:after="0" w:line="240" w:lineRule="auto"/>
      </w:pPr>
      <w:r>
        <w:br w:type="page"/>
      </w:r>
    </w:p>
    <w:p w:rsidR="003A0CA8" w:rsidRPr="00F31689" w:rsidRDefault="00F31689" w:rsidP="00F31689">
      <w:pPr>
        <w:pStyle w:val="TitleBox"/>
        <w:rPr>
          <w:lang w:val="en-US"/>
        </w:rPr>
      </w:pPr>
      <w:r w:rsidRPr="00F31689">
        <w:rPr>
          <w:lang w:val="en-US"/>
        </w:rPr>
        <w:lastRenderedPageBreak/>
        <w:t>THEIR VOICES NEED TO BE HEARD</w:t>
      </w:r>
    </w:p>
    <w:p w:rsidR="00F31689" w:rsidRDefault="00F31689" w:rsidP="00F31689">
      <w:pPr>
        <w:pStyle w:val="Heading4"/>
        <w:spacing w:after="240"/>
      </w:pPr>
      <w:r>
        <w:t xml:space="preserve">Jan is the director of a family-led organisation based in Canberra, </w:t>
      </w:r>
      <w:r>
        <w:br/>
        <w:t>Imagine More, which has embraced our Participant Led Videos project.</w:t>
      </w:r>
    </w:p>
    <w:p w:rsidR="00F31689" w:rsidRPr="00F31689" w:rsidRDefault="00F31689" w:rsidP="00F31689">
      <w:pPr>
        <w:rPr>
          <w:b/>
        </w:rPr>
      </w:pPr>
      <w:r w:rsidRPr="00F31689">
        <w:rPr>
          <w:b/>
        </w:rPr>
        <w:t>What motivated you to get involved with the Participant Led Videos (PLV) project?</w:t>
      </w:r>
    </w:p>
    <w:p w:rsidR="00F31689" w:rsidRDefault="00F31689" w:rsidP="00F31689">
      <w:r>
        <w:t xml:space="preserve">The project aligned really well with Imagine More’s Roles Based Recruitment (RBR) project because participants in our project needed to develop an induction for new staff. We were looking for creative induction options and understood the PLV tools and processes would assist us to support people well to develop their own induction video. </w:t>
      </w:r>
    </w:p>
    <w:p w:rsidR="00F31689" w:rsidRPr="00F31689" w:rsidRDefault="00F31689" w:rsidP="00F31689">
      <w:pPr>
        <w:rPr>
          <w:b/>
        </w:rPr>
      </w:pPr>
      <w:r w:rsidRPr="00F31689">
        <w:rPr>
          <w:b/>
        </w:rPr>
        <w:t>What do you think about the videos and the process of making them?</w:t>
      </w:r>
    </w:p>
    <w:p w:rsidR="00F31689" w:rsidRDefault="00F31689" w:rsidP="00F31689">
      <w:r>
        <w:t xml:space="preserve">The PLV workshop explained the process and the tools to support making a participant led video really well. The explicit intention for the person with disability to lead, design and share their perspective in the videos was important because it stretched us to find ways for participants’ voices to be heard. </w:t>
      </w:r>
    </w:p>
    <w:p w:rsidR="00F31689" w:rsidRDefault="00F31689" w:rsidP="00F31689">
      <w:r>
        <w:t>We really enjoyed making the videos with each person and most importantly the participants were very pleased with how the final version of their videos looked.</w:t>
      </w:r>
    </w:p>
    <w:p w:rsidR="00F31689" w:rsidRPr="00F31689" w:rsidRDefault="00F31689" w:rsidP="00F31689">
      <w:pPr>
        <w:rPr>
          <w:b/>
        </w:rPr>
      </w:pPr>
      <w:r w:rsidRPr="00F31689">
        <w:rPr>
          <w:b/>
        </w:rPr>
        <w:t>Do the videos have a place in your work? How will you use them?</w:t>
      </w:r>
    </w:p>
    <w:p w:rsidR="00F31689" w:rsidRDefault="00F31689" w:rsidP="00F31689">
      <w:r>
        <w:t>Assisting people to create a PLV will become part of how we support people through the RBR process, particularly when developing their induction.</w:t>
      </w:r>
    </w:p>
    <w:p w:rsidR="00F31689" w:rsidRDefault="00F31689" w:rsidP="00F31689">
      <w:r>
        <w:t>Having supported a couple of people to make training videos for their support workers (or staff in your case), do you have any advice for others?</w:t>
      </w:r>
    </w:p>
    <w:p w:rsidR="003A0CA8" w:rsidRDefault="00F31689" w:rsidP="00F31689">
      <w:r>
        <w:t>I would recommend people to just have a go at creating a PLV, there is such a broad scope for their use. We learned a lot from just doing it! Take your time in supporting the person to script what they want to say - that way you will have a better chance of creating a succinct and shorter video.</w:t>
      </w:r>
    </w:p>
    <w:p w:rsidR="00F500CC" w:rsidRDefault="00F31689" w:rsidP="00F31689">
      <w:pPr>
        <w:rPr>
          <w:i/>
        </w:rPr>
      </w:pPr>
      <w:r w:rsidRPr="00F31689">
        <w:rPr>
          <w:i/>
        </w:rPr>
        <w:t>Jan co-founded Imagine More in 2013 to make sure people with disability could enjoy the good things of life, like being a friend, student, team member, employee, business owner and home-maker.</w:t>
      </w:r>
    </w:p>
    <w:p w:rsidR="00F500CC" w:rsidRDefault="00F500CC">
      <w:pPr>
        <w:spacing w:after="0" w:line="240" w:lineRule="auto"/>
        <w:rPr>
          <w:i/>
        </w:rPr>
      </w:pPr>
      <w:r>
        <w:rPr>
          <w:i/>
        </w:rPr>
        <w:br w:type="page"/>
      </w:r>
    </w:p>
    <w:p w:rsidR="00E579CB" w:rsidRPr="00E579CB" w:rsidRDefault="00E579CB" w:rsidP="00E579CB">
      <w:pPr>
        <w:spacing w:line="280" w:lineRule="atLeast"/>
        <w:rPr>
          <w:rFonts w:cs="Arial"/>
          <w:b/>
          <w:szCs w:val="21"/>
        </w:rPr>
      </w:pPr>
      <w:r w:rsidRPr="00E579CB">
        <w:rPr>
          <w:rFonts w:cs="Arial"/>
          <w:b/>
          <w:szCs w:val="21"/>
        </w:rPr>
        <w:lastRenderedPageBreak/>
        <w:t>Directors’ Report</w:t>
      </w:r>
    </w:p>
    <w:p w:rsidR="00E579CB" w:rsidRPr="00E579CB" w:rsidRDefault="00E579CB" w:rsidP="00E579CB">
      <w:pPr>
        <w:spacing w:line="280" w:lineRule="atLeast"/>
        <w:rPr>
          <w:rFonts w:cs="Arial"/>
          <w:szCs w:val="21"/>
        </w:rPr>
      </w:pPr>
      <w:bookmarkStart w:id="1" w:name="p10_0350"/>
      <w:bookmarkStart w:id="2" w:name="p10_0400"/>
      <w:bookmarkEnd w:id="1"/>
      <w:bookmarkEnd w:id="2"/>
      <w:r w:rsidRPr="00E579CB">
        <w:rPr>
          <w:rFonts w:cs="Arial"/>
          <w:szCs w:val="21"/>
        </w:rPr>
        <w:t>The directors are pleased to present their report on Summer Foundation Limited for the year ended 30 June 2019.</w:t>
      </w:r>
    </w:p>
    <w:p w:rsidR="00E579CB" w:rsidRPr="00E579CB" w:rsidRDefault="00E579CB" w:rsidP="00E579CB">
      <w:pPr>
        <w:spacing w:line="280" w:lineRule="atLeast"/>
        <w:rPr>
          <w:rFonts w:cs="Arial"/>
          <w:b/>
          <w:szCs w:val="21"/>
        </w:rPr>
      </w:pPr>
      <w:bookmarkStart w:id="3" w:name="_Hlt482682897"/>
      <w:r w:rsidRPr="00E579CB">
        <w:rPr>
          <w:rFonts w:cs="Arial"/>
          <w:b/>
          <w:szCs w:val="21"/>
        </w:rPr>
        <w:t>Directors</w:t>
      </w:r>
      <w:bookmarkEnd w:id="3"/>
    </w:p>
    <w:p w:rsidR="00E579CB" w:rsidRPr="00E579CB" w:rsidRDefault="00E579CB" w:rsidP="00E579CB">
      <w:pPr>
        <w:spacing w:line="280" w:lineRule="atLeast"/>
        <w:rPr>
          <w:rFonts w:cs="Arial"/>
          <w:szCs w:val="21"/>
        </w:rPr>
      </w:pPr>
      <w:r w:rsidRPr="00E579CB">
        <w:rPr>
          <w:rFonts w:cs="Arial"/>
          <w:szCs w:val="21"/>
        </w:rPr>
        <w:t>The names of directors in office at any time during or since the end of the year are:</w:t>
      </w:r>
    </w:p>
    <w:tbl>
      <w:tblPr>
        <w:tblW w:w="5954" w:type="dxa"/>
        <w:tblInd w:w="108" w:type="dxa"/>
        <w:tblLook w:val="01E0" w:firstRow="1" w:lastRow="1" w:firstColumn="1" w:lastColumn="1" w:noHBand="0" w:noVBand="0"/>
      </w:tblPr>
      <w:tblGrid>
        <w:gridCol w:w="5954"/>
      </w:tblGrid>
      <w:tr w:rsidR="00E579CB" w:rsidRPr="00E579CB" w:rsidTr="00E579CB">
        <w:tc>
          <w:tcPr>
            <w:tcW w:w="5954" w:type="dxa"/>
          </w:tcPr>
          <w:p w:rsidR="00E579CB" w:rsidRPr="00E579CB" w:rsidRDefault="00E579CB" w:rsidP="00E579CB">
            <w:pPr>
              <w:spacing w:after="0" w:line="280" w:lineRule="atLeast"/>
              <w:rPr>
                <w:rFonts w:cs="Arial"/>
                <w:color w:val="000000"/>
                <w:szCs w:val="21"/>
              </w:rPr>
            </w:pPr>
            <w:bookmarkStart w:id="4" w:name="OLE_LINK1"/>
            <w:r w:rsidRPr="00E579CB">
              <w:rPr>
                <w:rFonts w:cs="Arial"/>
                <w:color w:val="000000"/>
                <w:szCs w:val="21"/>
              </w:rPr>
              <w:t>Dr Di Winkler AM</w:t>
            </w:r>
          </w:p>
        </w:tc>
      </w:tr>
      <w:tr w:rsidR="00E579CB" w:rsidRPr="00E579CB" w:rsidTr="00E579CB">
        <w:tc>
          <w:tcPr>
            <w:tcW w:w="5954" w:type="dxa"/>
          </w:tcPr>
          <w:p w:rsidR="00E579CB" w:rsidRPr="00E579CB" w:rsidRDefault="00E579CB" w:rsidP="00E579CB">
            <w:pPr>
              <w:spacing w:after="0" w:line="280" w:lineRule="atLeast"/>
              <w:rPr>
                <w:rFonts w:cs="Arial"/>
                <w:szCs w:val="21"/>
              </w:rPr>
            </w:pPr>
            <w:r w:rsidRPr="00E579CB">
              <w:rPr>
                <w:rFonts w:cs="Arial"/>
                <w:szCs w:val="21"/>
              </w:rPr>
              <w:t>Professor Malcolm Hopwood</w:t>
            </w:r>
          </w:p>
        </w:tc>
      </w:tr>
      <w:tr w:rsidR="00E579CB" w:rsidRPr="00E579CB" w:rsidTr="00E579CB">
        <w:tc>
          <w:tcPr>
            <w:tcW w:w="5954" w:type="dxa"/>
          </w:tcPr>
          <w:p w:rsidR="00E579CB" w:rsidRPr="00E579CB" w:rsidRDefault="00E579CB" w:rsidP="00E579CB">
            <w:pPr>
              <w:spacing w:after="0" w:line="280" w:lineRule="atLeast"/>
              <w:rPr>
                <w:rFonts w:cs="Arial"/>
                <w:szCs w:val="21"/>
              </w:rPr>
            </w:pPr>
            <w:r w:rsidRPr="00E579CB">
              <w:rPr>
                <w:rFonts w:cs="Arial"/>
                <w:szCs w:val="21"/>
              </w:rPr>
              <w:t>Paul Conroy</w:t>
            </w:r>
          </w:p>
        </w:tc>
      </w:tr>
      <w:tr w:rsidR="00E579CB" w:rsidRPr="00E579CB" w:rsidTr="00E579CB">
        <w:tc>
          <w:tcPr>
            <w:tcW w:w="5954" w:type="dxa"/>
          </w:tcPr>
          <w:p w:rsidR="00E579CB" w:rsidRPr="00E579CB" w:rsidRDefault="00E579CB" w:rsidP="00E579CB">
            <w:pPr>
              <w:spacing w:after="0" w:line="280" w:lineRule="atLeast"/>
              <w:rPr>
                <w:rFonts w:cs="Arial"/>
                <w:szCs w:val="21"/>
              </w:rPr>
            </w:pPr>
            <w:r w:rsidRPr="00E579CB">
              <w:rPr>
                <w:rFonts w:cs="Arial"/>
                <w:szCs w:val="21"/>
              </w:rPr>
              <w:t>Benjamin Marks</w:t>
            </w:r>
          </w:p>
        </w:tc>
      </w:tr>
      <w:tr w:rsidR="00E579CB" w:rsidRPr="00E579CB" w:rsidTr="00E579CB">
        <w:trPr>
          <w:trHeight w:val="266"/>
        </w:trPr>
        <w:tc>
          <w:tcPr>
            <w:tcW w:w="5954" w:type="dxa"/>
          </w:tcPr>
          <w:p w:rsidR="00E579CB" w:rsidRPr="00E579CB" w:rsidRDefault="00E579CB" w:rsidP="00E579CB">
            <w:pPr>
              <w:spacing w:after="0" w:line="280" w:lineRule="atLeast"/>
              <w:rPr>
                <w:rFonts w:cs="Arial"/>
                <w:szCs w:val="21"/>
              </w:rPr>
            </w:pPr>
            <w:r w:rsidRPr="00E579CB">
              <w:rPr>
                <w:rFonts w:cs="Arial"/>
                <w:szCs w:val="21"/>
              </w:rPr>
              <w:t>Jason Chequer</w:t>
            </w:r>
          </w:p>
        </w:tc>
      </w:tr>
      <w:tr w:rsidR="00E579CB" w:rsidRPr="00E579CB" w:rsidTr="00E579CB">
        <w:tc>
          <w:tcPr>
            <w:tcW w:w="5954" w:type="dxa"/>
          </w:tcPr>
          <w:p w:rsidR="00E579CB" w:rsidRPr="00E579CB" w:rsidRDefault="00E579CB" w:rsidP="00E579CB">
            <w:pPr>
              <w:spacing w:after="0" w:line="280" w:lineRule="atLeast"/>
              <w:rPr>
                <w:rFonts w:cs="Arial"/>
                <w:szCs w:val="21"/>
              </w:rPr>
            </w:pPr>
            <w:r w:rsidRPr="00E579CB">
              <w:rPr>
                <w:rFonts w:cs="Arial"/>
                <w:szCs w:val="21"/>
              </w:rPr>
              <w:t xml:space="preserve">Professor Jacinta Douglas </w:t>
            </w:r>
          </w:p>
        </w:tc>
      </w:tr>
      <w:tr w:rsidR="00E579CB" w:rsidRPr="00E579CB" w:rsidTr="00E579CB">
        <w:tc>
          <w:tcPr>
            <w:tcW w:w="5954" w:type="dxa"/>
          </w:tcPr>
          <w:p w:rsidR="00E579CB" w:rsidRPr="00E579CB" w:rsidRDefault="00E579CB" w:rsidP="00E579CB">
            <w:pPr>
              <w:spacing w:after="0" w:line="280" w:lineRule="atLeast"/>
              <w:rPr>
                <w:rFonts w:cs="Arial"/>
                <w:szCs w:val="21"/>
              </w:rPr>
            </w:pPr>
            <w:r w:rsidRPr="00E579CB">
              <w:rPr>
                <w:rFonts w:cs="Arial"/>
                <w:szCs w:val="21"/>
              </w:rPr>
              <w:t>Graeme Innes AM</w:t>
            </w:r>
          </w:p>
        </w:tc>
      </w:tr>
      <w:tr w:rsidR="00E579CB" w:rsidRPr="00E579CB" w:rsidTr="00E579CB">
        <w:tc>
          <w:tcPr>
            <w:tcW w:w="5954" w:type="dxa"/>
          </w:tcPr>
          <w:p w:rsidR="00E579CB" w:rsidRPr="00E579CB" w:rsidRDefault="00E579CB" w:rsidP="00E579CB">
            <w:pPr>
              <w:spacing w:after="0" w:line="280" w:lineRule="atLeast"/>
              <w:rPr>
                <w:rFonts w:cs="Arial"/>
                <w:szCs w:val="21"/>
              </w:rPr>
            </w:pPr>
            <w:r w:rsidRPr="00E579CB">
              <w:rPr>
                <w:rFonts w:cs="Arial"/>
                <w:szCs w:val="21"/>
              </w:rPr>
              <w:t>Adam Horsburgh (appointed 1 May 2019)</w:t>
            </w:r>
          </w:p>
        </w:tc>
      </w:tr>
      <w:tr w:rsidR="00E579CB" w:rsidRPr="00E579CB" w:rsidTr="00E579CB">
        <w:tc>
          <w:tcPr>
            <w:tcW w:w="5954" w:type="dxa"/>
          </w:tcPr>
          <w:p w:rsidR="00E579CB" w:rsidRPr="00E579CB" w:rsidRDefault="00E579CB" w:rsidP="00E579CB">
            <w:pPr>
              <w:spacing w:after="0" w:line="280" w:lineRule="atLeast"/>
              <w:rPr>
                <w:rFonts w:cs="Arial"/>
                <w:szCs w:val="21"/>
              </w:rPr>
            </w:pPr>
            <w:r w:rsidRPr="00E579CB">
              <w:rPr>
                <w:rFonts w:cs="Arial"/>
                <w:szCs w:val="21"/>
              </w:rPr>
              <w:t>Professor Andrew Way (appointed 1 May 2019)</w:t>
            </w:r>
          </w:p>
        </w:tc>
      </w:tr>
      <w:bookmarkEnd w:id="4"/>
    </w:tbl>
    <w:p w:rsidR="00E579CB" w:rsidRPr="00E579CB" w:rsidRDefault="00E579CB" w:rsidP="00E579CB">
      <w:pPr>
        <w:pStyle w:val="NoSpacing"/>
        <w:rPr>
          <w:rStyle w:val="Tablecharbold9pt"/>
          <w:rFonts w:ascii="Helvetica Neue" w:hAnsi="Helvetica Neue"/>
          <w:sz w:val="21"/>
          <w:szCs w:val="21"/>
        </w:rPr>
      </w:pPr>
    </w:p>
    <w:p w:rsidR="00E579CB" w:rsidRPr="00E579CB" w:rsidRDefault="00E579CB" w:rsidP="00E579CB">
      <w:pPr>
        <w:pStyle w:val="Tabletext9pt"/>
        <w:spacing w:before="0" w:after="120" w:line="280" w:lineRule="atLeast"/>
        <w:rPr>
          <w:rStyle w:val="Tablecharbold9pt"/>
          <w:rFonts w:ascii="Helvetica Neue" w:hAnsi="Helvetica Neue"/>
          <w:sz w:val="21"/>
          <w:szCs w:val="21"/>
        </w:rPr>
      </w:pPr>
      <w:r w:rsidRPr="00E579CB">
        <w:rPr>
          <w:rStyle w:val="Tablecharbold9pt"/>
          <w:rFonts w:ascii="Helvetica Neue" w:hAnsi="Helvetica Neue"/>
          <w:sz w:val="21"/>
          <w:szCs w:val="21"/>
        </w:rPr>
        <w:t xml:space="preserve">Principal Activities </w:t>
      </w:r>
    </w:p>
    <w:p w:rsidR="00E579CB" w:rsidRPr="00E579CB" w:rsidRDefault="00E579CB" w:rsidP="00E579CB">
      <w:pPr>
        <w:widowControl w:val="0"/>
        <w:spacing w:line="280" w:lineRule="atLeast"/>
        <w:rPr>
          <w:rFonts w:cs="Arial"/>
          <w:szCs w:val="21"/>
          <w:lang w:val="en-US"/>
        </w:rPr>
      </w:pPr>
      <w:r w:rsidRPr="00E579CB">
        <w:rPr>
          <w:rFonts w:cs="Arial"/>
          <w:szCs w:val="21"/>
          <w:lang w:val="en-US"/>
        </w:rPr>
        <w:t xml:space="preserve">Summer Foundation Limited is a not-for-profit </w:t>
      </w:r>
      <w:proofErr w:type="spellStart"/>
      <w:r w:rsidRPr="00E579CB">
        <w:rPr>
          <w:rFonts w:cs="Arial"/>
          <w:szCs w:val="21"/>
          <w:lang w:val="en-US"/>
        </w:rPr>
        <w:t>organisation</w:t>
      </w:r>
      <w:proofErr w:type="spellEnd"/>
      <w:r w:rsidRPr="00E579CB">
        <w:rPr>
          <w:rFonts w:cs="Arial"/>
          <w:szCs w:val="21"/>
          <w:lang w:val="en-US"/>
        </w:rPr>
        <w:t xml:space="preserve"> that aims to resolve the issue of young people in nursing homes. The Summer Foundation Limited focuses on conducting practical research, informing and empowering people with disability and their support networks, and developing pragmatic solutions for systemic change. </w:t>
      </w:r>
    </w:p>
    <w:p w:rsidR="00E579CB" w:rsidRPr="00E579CB" w:rsidRDefault="00E579CB" w:rsidP="00E579CB">
      <w:pPr>
        <w:widowControl w:val="0"/>
        <w:spacing w:line="280" w:lineRule="atLeast"/>
        <w:rPr>
          <w:rFonts w:cs="Arial"/>
          <w:b/>
          <w:szCs w:val="21"/>
        </w:rPr>
      </w:pPr>
      <w:r w:rsidRPr="00E579CB">
        <w:rPr>
          <w:rFonts w:cs="Arial"/>
          <w:b/>
          <w:szCs w:val="21"/>
        </w:rPr>
        <w:t>Review of Operations</w:t>
      </w:r>
    </w:p>
    <w:p w:rsidR="00E579CB" w:rsidRPr="00E579CB" w:rsidRDefault="00E579CB" w:rsidP="00E579CB">
      <w:pPr>
        <w:spacing w:line="280" w:lineRule="atLeast"/>
        <w:rPr>
          <w:rFonts w:cs="Arial"/>
          <w:szCs w:val="21"/>
        </w:rPr>
      </w:pPr>
      <w:r w:rsidRPr="00E579CB">
        <w:rPr>
          <w:rFonts w:cs="Arial"/>
          <w:szCs w:val="21"/>
        </w:rPr>
        <w:t xml:space="preserve">Revenue from continuing activities for the year was $5,877,449 (2018: $5,636,271) resulting in surplus funds of $4,550 (2018: $490,020). As is common in the not-for-profit sector, funding is in some instances received and revenue recognised for a project prior to work occurring. This results in a mismatch of the timing of revenue and related expenditure. The surplus for the prior period was a direct result of grants and donations received for projects yet to be completed and excludes the $7,179,290 loss on transfer of the Abbotsford &amp; Belmont Apartments to Summer Housing Limited.  </w:t>
      </w:r>
    </w:p>
    <w:p w:rsidR="00E579CB" w:rsidRPr="00E579CB" w:rsidRDefault="00E579CB" w:rsidP="00E579CB">
      <w:pPr>
        <w:pStyle w:val="Tabletext9pt"/>
        <w:spacing w:before="0" w:after="120" w:line="280" w:lineRule="atLeast"/>
        <w:rPr>
          <w:rStyle w:val="Tablecharbold9pt"/>
          <w:rFonts w:ascii="Helvetica Neue" w:hAnsi="Helvetica Neue"/>
          <w:sz w:val="21"/>
          <w:szCs w:val="21"/>
        </w:rPr>
      </w:pPr>
      <w:r w:rsidRPr="00E579CB">
        <w:rPr>
          <w:rStyle w:val="Tablecharbold9pt"/>
          <w:rFonts w:ascii="Helvetica Neue" w:hAnsi="Helvetica Neue"/>
          <w:sz w:val="21"/>
          <w:szCs w:val="21"/>
        </w:rPr>
        <w:t>After Balance Date Events</w:t>
      </w:r>
    </w:p>
    <w:p w:rsidR="00E579CB" w:rsidRDefault="00E579CB" w:rsidP="00E579CB">
      <w:pPr>
        <w:spacing w:line="280" w:lineRule="atLeast"/>
        <w:rPr>
          <w:rFonts w:cs="Arial"/>
          <w:szCs w:val="21"/>
        </w:rPr>
      </w:pPr>
      <w:r w:rsidRPr="00E579CB">
        <w:rPr>
          <w:rFonts w:cs="Arial"/>
          <w:szCs w:val="21"/>
        </w:rPr>
        <w:t xml:space="preserve">No matters or circumstances have arisen since the end of the financial period which significantly affected or may significantly affect the operations of </w:t>
      </w:r>
      <w:bookmarkStart w:id="5" w:name="OLE_LINK2"/>
      <w:bookmarkStart w:id="6" w:name="OLE_LINK3"/>
      <w:r w:rsidRPr="00E579CB">
        <w:rPr>
          <w:rFonts w:cs="Arial"/>
          <w:szCs w:val="21"/>
        </w:rPr>
        <w:t>Summer Foundation L</w:t>
      </w:r>
      <w:bookmarkEnd w:id="5"/>
      <w:bookmarkEnd w:id="6"/>
      <w:r w:rsidRPr="00E579CB">
        <w:rPr>
          <w:rFonts w:cs="Arial"/>
          <w:szCs w:val="21"/>
        </w:rPr>
        <w:t>imited, the results of those operations, or the state of affairs of Summer Foundation Limited in future financial years.</w:t>
      </w:r>
      <w:bookmarkStart w:id="7" w:name="OLE_LINK4"/>
      <w:bookmarkStart w:id="8" w:name="OLE_LINK5"/>
    </w:p>
    <w:p w:rsidR="00E579CB" w:rsidRDefault="00E579CB">
      <w:pPr>
        <w:spacing w:after="0" w:line="240" w:lineRule="auto"/>
        <w:rPr>
          <w:rFonts w:cs="Arial"/>
          <w:szCs w:val="21"/>
        </w:rPr>
      </w:pPr>
      <w:r>
        <w:rPr>
          <w:rFonts w:cs="Arial"/>
          <w:szCs w:val="21"/>
        </w:rPr>
        <w:br w:type="page"/>
      </w:r>
    </w:p>
    <w:p w:rsidR="00E579CB" w:rsidRPr="00E579CB" w:rsidRDefault="00E579CB" w:rsidP="00E579CB">
      <w:pPr>
        <w:spacing w:line="280" w:lineRule="atLeast"/>
        <w:rPr>
          <w:rFonts w:cs="Arial"/>
          <w:szCs w:val="21"/>
        </w:rPr>
      </w:pPr>
    </w:p>
    <w:p w:rsidR="00E579CB" w:rsidRPr="00E579CB" w:rsidRDefault="00E579CB" w:rsidP="00E579CB">
      <w:pPr>
        <w:spacing w:line="280" w:lineRule="atLeast"/>
        <w:rPr>
          <w:rFonts w:cs="Arial"/>
          <w:b/>
          <w:szCs w:val="21"/>
          <w:highlight w:val="yellow"/>
        </w:rPr>
      </w:pPr>
      <w:r w:rsidRPr="00E579CB">
        <w:rPr>
          <w:rFonts w:cs="Arial"/>
          <w:b/>
          <w:szCs w:val="21"/>
        </w:rPr>
        <w:t>Information on Directors</w:t>
      </w:r>
    </w:p>
    <w:bookmarkEnd w:id="7"/>
    <w:bookmarkEnd w:id="8"/>
    <w:p w:rsidR="00E579CB" w:rsidRPr="00E579CB" w:rsidRDefault="00E579CB" w:rsidP="00E579CB">
      <w:pPr>
        <w:widowControl w:val="0"/>
        <w:spacing w:line="280" w:lineRule="atLeast"/>
        <w:rPr>
          <w:b/>
          <w:bCs/>
          <w:noProof/>
          <w:szCs w:val="21"/>
          <w:lang w:val="en-US"/>
        </w:rPr>
      </w:pPr>
      <w:r w:rsidRPr="00E579CB">
        <w:rPr>
          <w:b/>
          <w:bCs/>
          <w:noProof/>
          <w:szCs w:val="21"/>
          <w:lang w:val="en-US"/>
        </w:rPr>
        <w:t>Dr Di Winkler AM</w:t>
      </w:r>
    </w:p>
    <w:p w:rsidR="00E579CB" w:rsidRPr="00E579CB" w:rsidRDefault="00E579CB" w:rsidP="00E579CB">
      <w:pPr>
        <w:widowControl w:val="0"/>
        <w:spacing w:line="280" w:lineRule="atLeast"/>
        <w:rPr>
          <w:rFonts w:cs="HelveticaNeueLTStd-Lt"/>
          <w:color w:val="000000"/>
          <w:szCs w:val="21"/>
          <w:lang w:val="en-US"/>
        </w:rPr>
      </w:pPr>
      <w:proofErr w:type="spellStart"/>
      <w:r w:rsidRPr="00E579CB">
        <w:rPr>
          <w:rFonts w:cs="HelveticaNeueLTStd-Lt"/>
          <w:color w:val="000000"/>
          <w:szCs w:val="21"/>
          <w:lang w:val="en-US"/>
        </w:rPr>
        <w:t>HonLLD</w:t>
      </w:r>
      <w:proofErr w:type="spellEnd"/>
      <w:r w:rsidRPr="00E579CB">
        <w:rPr>
          <w:rFonts w:cs="HelveticaNeueLTStd-Lt"/>
          <w:color w:val="000000"/>
          <w:szCs w:val="21"/>
          <w:lang w:val="en-US"/>
        </w:rPr>
        <w:t xml:space="preserve"> Monash, PhD, GAICD, </w:t>
      </w:r>
      <w:proofErr w:type="spellStart"/>
      <w:r w:rsidRPr="00E579CB">
        <w:rPr>
          <w:rFonts w:cs="HelveticaNeueLTStd-Lt"/>
          <w:color w:val="000000"/>
          <w:szCs w:val="21"/>
          <w:lang w:val="en-US"/>
        </w:rPr>
        <w:t>BAppSc</w:t>
      </w:r>
      <w:proofErr w:type="spellEnd"/>
      <w:r w:rsidRPr="00E579CB">
        <w:rPr>
          <w:rFonts w:cs="HelveticaNeueLTStd-Lt"/>
          <w:color w:val="000000"/>
          <w:szCs w:val="21"/>
          <w:lang w:val="en-US"/>
        </w:rPr>
        <w:t xml:space="preserve"> (Occ </w:t>
      </w:r>
      <w:proofErr w:type="spellStart"/>
      <w:r w:rsidRPr="00E579CB">
        <w:rPr>
          <w:rFonts w:cs="HelveticaNeueLTStd-Lt"/>
          <w:color w:val="000000"/>
          <w:szCs w:val="21"/>
          <w:lang w:val="en-US"/>
        </w:rPr>
        <w:t>Ther</w:t>
      </w:r>
      <w:proofErr w:type="spellEnd"/>
      <w:r w:rsidRPr="00E579CB">
        <w:rPr>
          <w:rFonts w:cs="HelveticaNeueLTStd-Lt"/>
          <w:color w:val="000000"/>
          <w:szCs w:val="21"/>
          <w:lang w:val="en-US"/>
        </w:rPr>
        <w:t xml:space="preserve">), Grad Dip Neuroscience, Grad Dip </w:t>
      </w:r>
      <w:proofErr w:type="spellStart"/>
      <w:r w:rsidRPr="00E579CB">
        <w:rPr>
          <w:rFonts w:cs="HelveticaNeueLTStd-Lt"/>
          <w:color w:val="000000"/>
          <w:szCs w:val="21"/>
          <w:lang w:val="en-US"/>
        </w:rPr>
        <w:t>AppSc</w:t>
      </w:r>
      <w:proofErr w:type="spellEnd"/>
      <w:r w:rsidRPr="00E579CB">
        <w:rPr>
          <w:rFonts w:cs="HelveticaNeueLTStd-Lt"/>
          <w:color w:val="000000"/>
          <w:szCs w:val="21"/>
          <w:lang w:val="en-US"/>
        </w:rPr>
        <w:t xml:space="preserve"> (Comp Sci), </w:t>
      </w:r>
      <w:proofErr w:type="spellStart"/>
      <w:r w:rsidRPr="00E579CB">
        <w:rPr>
          <w:rFonts w:cs="HelveticaNeueLTStd-Lt"/>
          <w:color w:val="000000"/>
          <w:szCs w:val="21"/>
          <w:lang w:val="en-US"/>
        </w:rPr>
        <w:t>MAppSc</w:t>
      </w:r>
      <w:proofErr w:type="spellEnd"/>
    </w:p>
    <w:p w:rsidR="00E579CB" w:rsidRPr="00E579CB" w:rsidRDefault="00E579CB" w:rsidP="00E579CB">
      <w:pPr>
        <w:widowControl w:val="0"/>
        <w:spacing w:line="280" w:lineRule="atLeast"/>
        <w:rPr>
          <w:rFonts w:cs="HelveticaNeueLTStd-Lt"/>
          <w:color w:val="000000"/>
          <w:szCs w:val="21"/>
          <w:lang w:val="en-US"/>
        </w:rPr>
      </w:pPr>
      <w:r w:rsidRPr="00E579CB">
        <w:rPr>
          <w:rFonts w:cs="HelveticaNeueLTStd-Lt"/>
          <w:color w:val="000000"/>
          <w:szCs w:val="21"/>
          <w:lang w:val="en-US"/>
        </w:rPr>
        <w:t xml:space="preserve">Position: </w:t>
      </w:r>
      <w:r w:rsidRPr="00E579CB">
        <w:rPr>
          <w:rFonts w:cs="HelveticaNeueLTStd-Lt"/>
          <w:color w:val="000000"/>
          <w:szCs w:val="21"/>
          <w:lang w:val="en-US"/>
        </w:rPr>
        <w:tab/>
        <w:t>Chief of Research &amp; Innovation</w:t>
      </w:r>
    </w:p>
    <w:p w:rsidR="00E579CB" w:rsidRPr="00E579CB" w:rsidRDefault="00E579CB" w:rsidP="00E579CB">
      <w:pPr>
        <w:widowControl w:val="0"/>
        <w:spacing w:line="280" w:lineRule="atLeast"/>
        <w:ind w:left="720" w:firstLine="720"/>
        <w:rPr>
          <w:rFonts w:cs="HelveticaNeueLTStd-Lt"/>
          <w:color w:val="000000"/>
          <w:szCs w:val="21"/>
          <w:lang w:val="en-US"/>
        </w:rPr>
      </w:pPr>
      <w:r w:rsidRPr="00E579CB">
        <w:rPr>
          <w:rFonts w:cs="HelveticaNeueLTStd-Lt"/>
          <w:color w:val="000000"/>
          <w:szCs w:val="21"/>
          <w:lang w:val="en-US"/>
        </w:rPr>
        <w:t>Executive Director</w:t>
      </w:r>
    </w:p>
    <w:p w:rsidR="00E579CB" w:rsidRPr="00E579CB" w:rsidRDefault="00E579CB" w:rsidP="00E579CB">
      <w:pPr>
        <w:widowControl w:val="0"/>
        <w:spacing w:line="280" w:lineRule="atLeast"/>
        <w:rPr>
          <w:rFonts w:cs="HelveticaNeueLTStd-Lt"/>
          <w:color w:val="000000"/>
          <w:szCs w:val="21"/>
          <w:lang w:val="en-US"/>
        </w:rPr>
      </w:pPr>
      <w:r w:rsidRPr="00E579CB">
        <w:rPr>
          <w:rFonts w:cs="HelveticaNeueLTStd-Lt"/>
          <w:color w:val="000000"/>
          <w:szCs w:val="21"/>
          <w:lang w:val="en-US"/>
        </w:rPr>
        <w:t>Di Winkler is an occupational therapist who has worked with people with severe brain injury for more than twenty years. Di was the Chief Occupational Therapist at Ivanhoe Manor Private Rehabilitation Hospital prior to developing a private practice working with people with brain injury in the community.</w:t>
      </w:r>
    </w:p>
    <w:p w:rsidR="00E579CB" w:rsidRPr="00E579CB" w:rsidRDefault="00E579CB" w:rsidP="00E579CB">
      <w:pPr>
        <w:widowControl w:val="0"/>
        <w:spacing w:line="280" w:lineRule="atLeast"/>
        <w:rPr>
          <w:rFonts w:cs="HelveticaNeueLTStd-Lt"/>
          <w:color w:val="000000"/>
          <w:szCs w:val="21"/>
          <w:lang w:val="en-US"/>
        </w:rPr>
      </w:pPr>
      <w:r w:rsidRPr="00E579CB">
        <w:rPr>
          <w:rFonts w:cs="HelveticaNeueLTStd-Lt"/>
          <w:color w:val="000000"/>
          <w:szCs w:val="21"/>
          <w:lang w:val="en-US"/>
        </w:rPr>
        <w:t xml:space="preserve">Di completed a Masters by Research at La Trobe University entitled “Factors that lead to successful community integration following severe traumatic brain injury”. Di established the Summer Foundation in January 2006 and in 2012 completed a PhD at Monash University, which involved a series of studies that focused on young people in nursing homes. </w:t>
      </w:r>
    </w:p>
    <w:p w:rsidR="00E579CB" w:rsidRPr="00E579CB" w:rsidRDefault="00E579CB" w:rsidP="00E579CB">
      <w:pPr>
        <w:widowControl w:val="0"/>
        <w:spacing w:line="280" w:lineRule="atLeast"/>
        <w:rPr>
          <w:rFonts w:cs="HelveticaNeueLTStd-Lt"/>
          <w:color w:val="000000"/>
          <w:szCs w:val="21"/>
          <w:lang w:val="en-US"/>
        </w:rPr>
      </w:pPr>
      <w:r w:rsidRPr="00E579CB">
        <w:rPr>
          <w:rFonts w:cs="HelveticaNeueLTStd-Lt"/>
          <w:color w:val="000000"/>
          <w:szCs w:val="21"/>
          <w:lang w:val="en-US"/>
        </w:rPr>
        <w:t>Di sits on the Board of Summer Housing Ltd. She is also the Chief of Research and Innovation at Summer Foundation and an Adjunct Associate Professor at the Living with Disability Research Centre at La Trobe University.</w:t>
      </w:r>
    </w:p>
    <w:p w:rsidR="00E579CB" w:rsidRPr="00E579CB" w:rsidRDefault="00E579CB" w:rsidP="00E579CB">
      <w:pPr>
        <w:widowControl w:val="0"/>
        <w:spacing w:line="280" w:lineRule="atLeast"/>
        <w:rPr>
          <w:rFonts w:cs="HelveticaNeueLTStd-Lt"/>
          <w:color w:val="000000"/>
          <w:szCs w:val="21"/>
          <w:lang w:val="en-US"/>
        </w:rPr>
      </w:pPr>
      <w:r w:rsidRPr="00E579CB">
        <w:rPr>
          <w:rFonts w:cs="HelveticaNeueLTStd-Lt"/>
          <w:color w:val="000000"/>
          <w:szCs w:val="21"/>
          <w:lang w:val="en-US"/>
        </w:rPr>
        <w:t xml:space="preserve">In November 2013 Di was awarded the 2014 Stanford Australia Foundation Dyson Bequest Scholarship. This scholarship enabled Di to complete the </w:t>
      </w:r>
      <w:proofErr w:type="gramStart"/>
      <w:r w:rsidRPr="00E579CB">
        <w:rPr>
          <w:rFonts w:cs="HelveticaNeueLTStd-Lt"/>
          <w:color w:val="000000"/>
          <w:szCs w:val="21"/>
          <w:lang w:val="en-US"/>
        </w:rPr>
        <w:t>six week</w:t>
      </w:r>
      <w:proofErr w:type="gramEnd"/>
      <w:r w:rsidRPr="00E579CB">
        <w:rPr>
          <w:rFonts w:cs="HelveticaNeueLTStd-Lt"/>
          <w:color w:val="000000"/>
          <w:szCs w:val="21"/>
          <w:lang w:val="en-US"/>
        </w:rPr>
        <w:t xml:space="preserve"> Stanford Executive Program in 2014. Di was conferred with a Doctor of Laws honoris causa from Monash University in May 2018 for her distinguished service to the community through her leaderships as a </w:t>
      </w:r>
      <w:proofErr w:type="spellStart"/>
      <w:r w:rsidRPr="00E579CB">
        <w:rPr>
          <w:rFonts w:cs="HelveticaNeueLTStd-Lt"/>
          <w:color w:val="000000"/>
          <w:szCs w:val="21"/>
          <w:lang w:val="en-US"/>
        </w:rPr>
        <w:t>practising</w:t>
      </w:r>
      <w:proofErr w:type="spellEnd"/>
      <w:r w:rsidRPr="00E579CB">
        <w:rPr>
          <w:rFonts w:cs="HelveticaNeueLTStd-Lt"/>
          <w:color w:val="000000"/>
          <w:szCs w:val="21"/>
          <w:lang w:val="en-US"/>
        </w:rPr>
        <w:t xml:space="preserve"> Occupational Therapist and researcher with a particular focus of dealing with young people affected by acquired brain injury. In 2019, Di was appointed as a member (AM) of the Order of Australia (General Division) for significant service to people with disability.</w:t>
      </w:r>
    </w:p>
    <w:p w:rsidR="00E579CB" w:rsidRPr="00E579CB" w:rsidRDefault="00E579CB" w:rsidP="00E579CB">
      <w:pPr>
        <w:widowControl w:val="0"/>
        <w:spacing w:line="280" w:lineRule="atLeast"/>
        <w:rPr>
          <w:rFonts w:cs="HelveticaNeueLTStd-Lt"/>
          <w:color w:val="000000"/>
          <w:szCs w:val="21"/>
          <w:lang w:val="en-US"/>
        </w:rPr>
      </w:pPr>
    </w:p>
    <w:p w:rsidR="00E579CB" w:rsidRPr="00E579CB" w:rsidRDefault="00E579CB" w:rsidP="00E579CB">
      <w:pPr>
        <w:spacing w:line="280" w:lineRule="atLeast"/>
        <w:rPr>
          <w:rFonts w:cs="Arial"/>
          <w:b/>
          <w:szCs w:val="21"/>
        </w:rPr>
      </w:pPr>
      <w:r w:rsidRPr="00E579CB">
        <w:rPr>
          <w:rFonts w:cs="Arial"/>
          <w:b/>
          <w:szCs w:val="21"/>
        </w:rPr>
        <w:t>Professor Malcolm Hopwood</w:t>
      </w:r>
    </w:p>
    <w:p w:rsidR="00E579CB" w:rsidRPr="00E579CB" w:rsidRDefault="00E579CB" w:rsidP="00E579CB">
      <w:pPr>
        <w:widowControl w:val="0"/>
        <w:spacing w:line="280" w:lineRule="atLeast"/>
        <w:rPr>
          <w:rFonts w:cs="HelveticaNeueLTStd-Lt"/>
          <w:color w:val="000000"/>
          <w:szCs w:val="21"/>
          <w:lang w:val="en-US"/>
        </w:rPr>
      </w:pPr>
      <w:r w:rsidRPr="00E579CB">
        <w:rPr>
          <w:rFonts w:cs="HelveticaNeueLTStd-Lt"/>
          <w:color w:val="000000"/>
          <w:szCs w:val="21"/>
          <w:lang w:val="en-US"/>
        </w:rPr>
        <w:t>MBBS (1986 MELB), MD, MPM, FRANZCP</w:t>
      </w:r>
    </w:p>
    <w:p w:rsidR="00E579CB" w:rsidRPr="00E579CB" w:rsidRDefault="00E579CB" w:rsidP="00E579CB">
      <w:pPr>
        <w:widowControl w:val="0"/>
        <w:spacing w:line="280" w:lineRule="atLeast"/>
        <w:rPr>
          <w:rFonts w:cs="HelveticaNeueLTStd-Lt"/>
          <w:color w:val="000000"/>
          <w:szCs w:val="21"/>
          <w:lang w:val="en-US"/>
        </w:rPr>
      </w:pPr>
      <w:r w:rsidRPr="00E579CB">
        <w:rPr>
          <w:rFonts w:cs="HelveticaNeueLTStd-Lt"/>
          <w:color w:val="000000"/>
          <w:szCs w:val="21"/>
          <w:lang w:val="en-US"/>
        </w:rPr>
        <w:t xml:space="preserve">Position: </w:t>
      </w:r>
      <w:r w:rsidRPr="00E579CB">
        <w:rPr>
          <w:rFonts w:cs="HelveticaNeueLTStd-Lt"/>
          <w:color w:val="000000"/>
          <w:szCs w:val="21"/>
          <w:lang w:val="en-US"/>
        </w:rPr>
        <w:tab/>
        <w:t>Independent Non-Executive Director</w:t>
      </w:r>
    </w:p>
    <w:p w:rsidR="00E579CB" w:rsidRDefault="00E579CB" w:rsidP="00E579CB">
      <w:pPr>
        <w:widowControl w:val="0"/>
        <w:spacing w:line="280" w:lineRule="atLeast"/>
        <w:rPr>
          <w:rFonts w:cs="HelveticaNeueLTStd-Lt"/>
          <w:color w:val="000000"/>
          <w:szCs w:val="21"/>
          <w:lang w:val="en-US"/>
        </w:rPr>
      </w:pPr>
      <w:r w:rsidRPr="00E579CB">
        <w:rPr>
          <w:rFonts w:cs="HelveticaNeueLTStd-Lt"/>
          <w:color w:val="000000"/>
          <w:szCs w:val="21"/>
          <w:lang w:val="en-US"/>
        </w:rPr>
        <w:t xml:space="preserve">Professor Mal Hopwood has taken up the position of Interim Head of Department of Psychiatry at The University of Melbourne in August 2017. He completed a Doctor of Medicine (MD) at the University of Melbourne in 1997. After working in the public health-care system for many years, he has held the position of Professor of Psychiatry with Ramsay Health Care at The University of Melbourne and Clinical Director, Professorial Psychiatry Unit at the Albert Road Clinic since 2013.  His research interests include basic neurobiology and clinical aspects of mood and anxiety disorders, psychopharmacology, mental health care systems and psychiatric aspects of acquired brain injury.  As Chief Investigator, he has been awarded current grant funding from the NHMRC, US Department of </w:t>
      </w:r>
      <w:proofErr w:type="spellStart"/>
      <w:r w:rsidRPr="00E579CB">
        <w:rPr>
          <w:rFonts w:cs="HelveticaNeueLTStd-Lt"/>
          <w:color w:val="000000"/>
          <w:szCs w:val="21"/>
          <w:lang w:val="en-US"/>
        </w:rPr>
        <w:t>Defence</w:t>
      </w:r>
      <w:proofErr w:type="spellEnd"/>
      <w:r w:rsidRPr="00E579CB">
        <w:rPr>
          <w:rFonts w:cs="HelveticaNeueLTStd-Lt"/>
          <w:color w:val="000000"/>
          <w:szCs w:val="21"/>
          <w:lang w:val="en-US"/>
        </w:rPr>
        <w:t xml:space="preserve">, Ramsay Health Foundation and ISSCR </w:t>
      </w:r>
      <w:proofErr w:type="spellStart"/>
      <w:r w:rsidRPr="00E579CB">
        <w:rPr>
          <w:rFonts w:cs="HelveticaNeueLTStd-Lt"/>
          <w:color w:val="000000"/>
          <w:szCs w:val="21"/>
          <w:lang w:val="en-US"/>
        </w:rPr>
        <w:t>totalling</w:t>
      </w:r>
      <w:proofErr w:type="spellEnd"/>
      <w:r w:rsidRPr="00E579CB">
        <w:rPr>
          <w:rFonts w:cs="HelveticaNeueLTStd-Lt"/>
          <w:color w:val="000000"/>
          <w:szCs w:val="21"/>
          <w:lang w:val="en-US"/>
        </w:rPr>
        <w:t xml:space="preserve"> $7.8M.</w:t>
      </w:r>
    </w:p>
    <w:p w:rsidR="00E579CB" w:rsidRDefault="00E579CB" w:rsidP="00E579CB">
      <w:pPr>
        <w:widowControl w:val="0"/>
        <w:spacing w:line="280" w:lineRule="atLeast"/>
        <w:rPr>
          <w:rFonts w:cs="HelveticaNeueLTStd-Lt"/>
          <w:color w:val="000000"/>
          <w:szCs w:val="21"/>
          <w:lang w:val="en-US"/>
        </w:rPr>
      </w:pPr>
    </w:p>
    <w:p w:rsidR="00E579CB" w:rsidRPr="00E579CB" w:rsidRDefault="00E579CB" w:rsidP="00E579CB">
      <w:pPr>
        <w:widowControl w:val="0"/>
        <w:spacing w:line="280" w:lineRule="atLeast"/>
        <w:rPr>
          <w:rFonts w:cs="HelveticaNeueLTStd-Lt"/>
          <w:color w:val="000000"/>
          <w:szCs w:val="21"/>
          <w:lang w:val="en-US"/>
        </w:rPr>
      </w:pPr>
    </w:p>
    <w:p w:rsidR="00E579CB" w:rsidRPr="00E579CB" w:rsidRDefault="00E579CB" w:rsidP="00E579CB">
      <w:pPr>
        <w:widowControl w:val="0"/>
        <w:spacing w:line="280" w:lineRule="atLeast"/>
        <w:rPr>
          <w:rFonts w:cs="HelveticaNeueLTStd-Lt"/>
          <w:color w:val="000000"/>
          <w:szCs w:val="21"/>
          <w:lang w:val="en-US"/>
        </w:rPr>
      </w:pPr>
      <w:r w:rsidRPr="00E579CB">
        <w:rPr>
          <w:rFonts w:cs="HelveticaNeueLTStd-Lt"/>
          <w:color w:val="000000"/>
          <w:szCs w:val="21"/>
          <w:lang w:val="en-US"/>
        </w:rPr>
        <w:lastRenderedPageBreak/>
        <w:t xml:space="preserve">Professor Hopwood has held a number of roles with the Royal Australian and New Zealand College of Psychiatry (RANZCP). These include a two-year term as College President (2015-2017) and Victorian Branch Chair (2009-2013).  He was a member of General Council (2007-2009) and a member of the Board of Research for 10 years.  He is a member of the Faculty of Psychiatry of Old Age and the Section of Neuropsychiatry.  From 2009 to 2016 he was Chair of the Board of the Summer Foundation, a not for profit </w:t>
      </w:r>
      <w:proofErr w:type="spellStart"/>
      <w:r w:rsidRPr="00E579CB">
        <w:rPr>
          <w:rFonts w:cs="HelveticaNeueLTStd-Lt"/>
          <w:color w:val="000000"/>
          <w:szCs w:val="21"/>
          <w:lang w:val="en-US"/>
        </w:rPr>
        <w:t>organisation</w:t>
      </w:r>
      <w:proofErr w:type="spellEnd"/>
      <w:r w:rsidRPr="00E579CB">
        <w:rPr>
          <w:rFonts w:cs="HelveticaNeueLTStd-Lt"/>
          <w:color w:val="000000"/>
          <w:szCs w:val="21"/>
          <w:lang w:val="en-US"/>
        </w:rPr>
        <w:t xml:space="preserve"> aiding people with neurological disability to access appropriate housing.  In 2019, he became President of the Asian Federation of Psychiatric Associations.</w:t>
      </w:r>
    </w:p>
    <w:p w:rsidR="00E579CB" w:rsidRPr="00E579CB" w:rsidRDefault="00E579CB" w:rsidP="00E579CB">
      <w:pPr>
        <w:widowControl w:val="0"/>
        <w:spacing w:line="280" w:lineRule="atLeast"/>
        <w:rPr>
          <w:rFonts w:cs="HelveticaNeueLTStd-Lt"/>
          <w:color w:val="000000"/>
          <w:szCs w:val="21"/>
          <w:lang w:val="en-US"/>
        </w:rPr>
      </w:pPr>
    </w:p>
    <w:p w:rsidR="00E579CB" w:rsidRPr="00E579CB" w:rsidRDefault="00E579CB" w:rsidP="00E579CB">
      <w:pPr>
        <w:spacing w:line="280" w:lineRule="atLeast"/>
        <w:rPr>
          <w:rFonts w:cs="Arial"/>
          <w:b/>
          <w:szCs w:val="21"/>
          <w:highlight w:val="yellow"/>
        </w:rPr>
      </w:pPr>
      <w:r w:rsidRPr="00E579CB">
        <w:rPr>
          <w:rFonts w:cs="Arial"/>
          <w:b/>
          <w:szCs w:val="21"/>
        </w:rPr>
        <w:t>Paul Conroy</w:t>
      </w:r>
    </w:p>
    <w:p w:rsidR="00E579CB" w:rsidRPr="00E579CB" w:rsidRDefault="00E579CB" w:rsidP="00E579CB">
      <w:pPr>
        <w:spacing w:line="280" w:lineRule="atLeast"/>
        <w:rPr>
          <w:rFonts w:cs="HelveticaNeueLTStd-Lt"/>
          <w:color w:val="000000"/>
          <w:szCs w:val="21"/>
          <w:lang w:val="en-US"/>
        </w:rPr>
      </w:pPr>
      <w:r w:rsidRPr="00E579CB">
        <w:rPr>
          <w:rFonts w:cs="HelveticaNeueLTStd-Lt"/>
          <w:color w:val="000000"/>
          <w:szCs w:val="21"/>
          <w:lang w:val="en-US"/>
        </w:rPr>
        <w:t xml:space="preserve">LLB (Hons) </w:t>
      </w:r>
      <w:proofErr w:type="spellStart"/>
      <w:r w:rsidRPr="00E579CB">
        <w:rPr>
          <w:rFonts w:cs="HelveticaNeueLTStd-Lt"/>
          <w:color w:val="000000"/>
          <w:szCs w:val="21"/>
          <w:lang w:val="en-US"/>
        </w:rPr>
        <w:t>Bcom</w:t>
      </w:r>
      <w:proofErr w:type="spellEnd"/>
    </w:p>
    <w:p w:rsidR="00E579CB" w:rsidRPr="00E579CB" w:rsidRDefault="00E579CB" w:rsidP="00E579CB">
      <w:pPr>
        <w:widowControl w:val="0"/>
        <w:spacing w:line="280" w:lineRule="atLeast"/>
        <w:rPr>
          <w:rFonts w:cs="HelveticaNeueLTStd-Lt"/>
          <w:color w:val="000000"/>
          <w:szCs w:val="21"/>
          <w:lang w:val="en-US"/>
        </w:rPr>
      </w:pPr>
      <w:r w:rsidRPr="00E579CB">
        <w:rPr>
          <w:rFonts w:cs="HelveticaNeueLTStd-Lt"/>
          <w:color w:val="000000"/>
          <w:szCs w:val="21"/>
          <w:lang w:val="en-US"/>
        </w:rPr>
        <w:t>Position:</w:t>
      </w:r>
      <w:r w:rsidRPr="00E579CB">
        <w:rPr>
          <w:rFonts w:cs="HelveticaNeueLTStd-Lt"/>
          <w:color w:val="000000"/>
          <w:szCs w:val="21"/>
          <w:lang w:val="en-US"/>
        </w:rPr>
        <w:tab/>
        <w:t>Independent Non-Executive Chairman</w:t>
      </w:r>
      <w:r w:rsidRPr="00E579CB">
        <w:rPr>
          <w:rFonts w:cs="HelveticaNeueLTStd-Lt"/>
          <w:color w:val="000000"/>
          <w:szCs w:val="21"/>
          <w:lang w:val="en-US"/>
        </w:rPr>
        <w:tab/>
      </w:r>
      <w:r w:rsidRPr="00E579CB">
        <w:rPr>
          <w:rFonts w:cs="HelveticaNeueLTStd-Lt"/>
          <w:color w:val="000000"/>
          <w:szCs w:val="21"/>
          <w:lang w:val="en-US"/>
        </w:rPr>
        <w:tab/>
      </w:r>
    </w:p>
    <w:p w:rsidR="00E579CB" w:rsidRPr="00E579CB" w:rsidRDefault="00E579CB" w:rsidP="00E579CB">
      <w:pPr>
        <w:spacing w:line="280" w:lineRule="atLeast"/>
        <w:rPr>
          <w:rFonts w:cs="HelveticaNeueLTStd-Lt"/>
          <w:color w:val="000000"/>
          <w:szCs w:val="21"/>
          <w:lang w:val="en-US"/>
        </w:rPr>
      </w:pPr>
      <w:r w:rsidRPr="00E579CB">
        <w:rPr>
          <w:rFonts w:cs="HelveticaNeueLTStd-Lt"/>
          <w:color w:val="000000"/>
          <w:szCs w:val="21"/>
          <w:lang w:val="en-US"/>
        </w:rPr>
        <w:t>Paul is an experienced corporate lawyer who was most recently the General Counsel and Company Secretary of Treasury Wine Estates Limited and, prior to that, the Chief Legal Officer and Company Secretary of Fosters Group Limited. Paul is currently the Group CEO of the TIC Group.</w:t>
      </w:r>
    </w:p>
    <w:p w:rsidR="00E579CB" w:rsidRPr="00E579CB" w:rsidRDefault="00E579CB" w:rsidP="00E579CB">
      <w:pPr>
        <w:spacing w:line="280" w:lineRule="atLeast"/>
        <w:rPr>
          <w:rFonts w:cs="HelveticaNeueLTStd-Lt"/>
          <w:color w:val="000000"/>
          <w:szCs w:val="21"/>
          <w:lang w:val="en-US"/>
        </w:rPr>
      </w:pPr>
      <w:r w:rsidRPr="00E579CB">
        <w:rPr>
          <w:rFonts w:cs="HelveticaNeueLTStd-Lt"/>
          <w:color w:val="000000"/>
          <w:szCs w:val="21"/>
          <w:lang w:val="en-US"/>
        </w:rPr>
        <w:t>Prior to joining Foster’s Group in 2005, Paul held a number of senior management roles with Southcorp Limited in Australia and the United States.</w:t>
      </w:r>
    </w:p>
    <w:p w:rsidR="00E579CB" w:rsidRPr="00E579CB" w:rsidRDefault="00E579CB" w:rsidP="00E579CB">
      <w:pPr>
        <w:spacing w:line="280" w:lineRule="atLeast"/>
        <w:rPr>
          <w:rFonts w:cs="HelveticaNeueLTStd-Lt"/>
          <w:color w:val="000000"/>
          <w:szCs w:val="21"/>
          <w:lang w:val="en-US"/>
        </w:rPr>
      </w:pPr>
      <w:r w:rsidRPr="00E579CB">
        <w:rPr>
          <w:rFonts w:cs="HelveticaNeueLTStd-Lt"/>
          <w:color w:val="000000"/>
          <w:szCs w:val="21"/>
          <w:lang w:val="en-US"/>
        </w:rPr>
        <w:t>Previously, Paul was the Corporate Development Executive of MYOB Limited, was a corporate lawyer with Herbert Smith Freehills in Melbourne and Hanoi, and also worked in the London office of the international law firm, Mayer Brown, for three years.</w:t>
      </w:r>
    </w:p>
    <w:p w:rsidR="00E579CB" w:rsidRPr="00E579CB" w:rsidRDefault="00E579CB" w:rsidP="00E579CB">
      <w:pPr>
        <w:spacing w:line="280" w:lineRule="atLeast"/>
        <w:rPr>
          <w:rFonts w:cs="HelveticaNeueLTStd-Lt"/>
          <w:color w:val="000000"/>
          <w:szCs w:val="21"/>
          <w:lang w:val="en-US"/>
        </w:rPr>
      </w:pPr>
      <w:r w:rsidRPr="00E579CB">
        <w:rPr>
          <w:rFonts w:cs="HelveticaNeueLTStd-Lt"/>
          <w:color w:val="000000"/>
          <w:szCs w:val="21"/>
          <w:lang w:val="en-US"/>
        </w:rPr>
        <w:t xml:space="preserve">Paul is a director of Summer Housing Ltd and </w:t>
      </w:r>
      <w:proofErr w:type="spellStart"/>
      <w:r w:rsidRPr="00E579CB">
        <w:rPr>
          <w:rFonts w:cs="HelveticaNeueLTStd-Lt"/>
          <w:color w:val="000000"/>
          <w:szCs w:val="21"/>
          <w:lang w:val="en-US"/>
        </w:rPr>
        <w:t>FareShare</w:t>
      </w:r>
      <w:proofErr w:type="spellEnd"/>
      <w:r w:rsidRPr="00E579CB">
        <w:rPr>
          <w:rFonts w:cs="HelveticaNeueLTStd-Lt"/>
          <w:color w:val="000000"/>
          <w:szCs w:val="21"/>
          <w:lang w:val="en-US"/>
        </w:rPr>
        <w:t xml:space="preserve"> Inc, and a graduate of Leadership Victoria’s Williamson Community Leadership Program.</w:t>
      </w:r>
    </w:p>
    <w:p w:rsidR="00E579CB" w:rsidRPr="00E579CB" w:rsidRDefault="00E579CB" w:rsidP="00E579CB">
      <w:pPr>
        <w:spacing w:line="280" w:lineRule="atLeast"/>
        <w:rPr>
          <w:rFonts w:cs="HelveticaNeueLTStd-Lt"/>
          <w:color w:val="000000"/>
          <w:szCs w:val="21"/>
          <w:lang w:val="en-US"/>
        </w:rPr>
      </w:pPr>
    </w:p>
    <w:p w:rsidR="00E579CB" w:rsidRPr="00E579CB" w:rsidRDefault="00E579CB" w:rsidP="00E579CB">
      <w:pPr>
        <w:spacing w:line="280" w:lineRule="atLeast"/>
        <w:rPr>
          <w:rFonts w:cs="Arial"/>
          <w:b/>
          <w:szCs w:val="21"/>
        </w:rPr>
      </w:pPr>
      <w:r w:rsidRPr="00E579CB">
        <w:rPr>
          <w:rFonts w:cs="Arial"/>
          <w:b/>
          <w:szCs w:val="21"/>
        </w:rPr>
        <w:t xml:space="preserve">Benjamin Marks </w:t>
      </w:r>
    </w:p>
    <w:p w:rsidR="00E579CB" w:rsidRPr="00E579CB" w:rsidRDefault="00E579CB" w:rsidP="00E579CB">
      <w:pPr>
        <w:spacing w:line="280" w:lineRule="atLeast"/>
        <w:rPr>
          <w:rFonts w:cs="Arial"/>
          <w:szCs w:val="21"/>
        </w:rPr>
      </w:pPr>
      <w:proofErr w:type="spellStart"/>
      <w:r w:rsidRPr="00E579CB">
        <w:rPr>
          <w:rFonts w:cs="Arial"/>
          <w:szCs w:val="21"/>
        </w:rPr>
        <w:t>BCom</w:t>
      </w:r>
      <w:proofErr w:type="spellEnd"/>
      <w:r w:rsidRPr="00E579CB">
        <w:rPr>
          <w:rFonts w:cs="Arial"/>
          <w:szCs w:val="21"/>
        </w:rPr>
        <w:t>, Dip. FP, CFP, MBA</w:t>
      </w:r>
    </w:p>
    <w:p w:rsidR="00E579CB" w:rsidRPr="00E579CB" w:rsidRDefault="00E579CB" w:rsidP="00E579CB">
      <w:pPr>
        <w:spacing w:line="280" w:lineRule="atLeast"/>
        <w:rPr>
          <w:rFonts w:cs="Arial"/>
          <w:color w:val="000000"/>
          <w:szCs w:val="21"/>
        </w:rPr>
      </w:pPr>
      <w:r w:rsidRPr="00E579CB">
        <w:rPr>
          <w:rFonts w:cs="Arial"/>
          <w:color w:val="000000"/>
          <w:szCs w:val="21"/>
        </w:rPr>
        <w:t>Position:</w:t>
      </w:r>
      <w:r w:rsidRPr="00E579CB">
        <w:rPr>
          <w:rFonts w:cs="Arial"/>
          <w:color w:val="000000"/>
          <w:szCs w:val="21"/>
        </w:rPr>
        <w:tab/>
        <w:t xml:space="preserve">Independent Non-Executive Director </w:t>
      </w:r>
    </w:p>
    <w:p w:rsidR="00E579CB" w:rsidRPr="00E579CB" w:rsidRDefault="00E579CB" w:rsidP="00E579CB">
      <w:pPr>
        <w:spacing w:line="280" w:lineRule="atLeast"/>
        <w:rPr>
          <w:rFonts w:cs="HelveticaNeueLTStd-Lt"/>
          <w:color w:val="000000"/>
          <w:szCs w:val="21"/>
          <w:lang w:val="en-US"/>
        </w:rPr>
      </w:pPr>
      <w:r w:rsidRPr="00E579CB">
        <w:rPr>
          <w:rFonts w:cs="HelveticaNeueLTStd-Lt"/>
          <w:color w:val="000000"/>
          <w:szCs w:val="21"/>
          <w:lang w:val="en-US"/>
        </w:rPr>
        <w:t xml:space="preserve">Benjamin Marks is a Partner and Founding Shareholder of Crestone Wealth Management. His primary responsibility is to provide wealth management and investment advice to individuals, families as well as to charitable foundations and not for profit </w:t>
      </w:r>
      <w:proofErr w:type="spellStart"/>
      <w:r w:rsidRPr="00E579CB">
        <w:rPr>
          <w:rFonts w:cs="HelveticaNeueLTStd-Lt"/>
          <w:color w:val="000000"/>
          <w:szCs w:val="21"/>
          <w:lang w:val="en-US"/>
        </w:rPr>
        <w:t>organisations</w:t>
      </w:r>
      <w:proofErr w:type="spellEnd"/>
      <w:r w:rsidRPr="00E579CB">
        <w:rPr>
          <w:rFonts w:cs="HelveticaNeueLTStd-Lt"/>
          <w:color w:val="000000"/>
          <w:szCs w:val="21"/>
          <w:lang w:val="en-US"/>
        </w:rPr>
        <w:t>. Benjamin has been a Financial Adviser since 1998 and is a Certified Financial Planner. He also completed his Masters of Business Administration (Melbourne Business School) in March 2015.</w:t>
      </w:r>
    </w:p>
    <w:p w:rsidR="00E579CB" w:rsidRPr="00E579CB" w:rsidRDefault="00E579CB" w:rsidP="00E579CB">
      <w:pPr>
        <w:spacing w:line="280" w:lineRule="atLeast"/>
        <w:rPr>
          <w:rFonts w:cs="HelveticaNeueLTStd-Lt"/>
          <w:color w:val="000000"/>
          <w:szCs w:val="21"/>
          <w:lang w:val="en-US"/>
        </w:rPr>
      </w:pPr>
      <w:r w:rsidRPr="00E579CB">
        <w:rPr>
          <w:rFonts w:cs="HelveticaNeueLTStd-Lt"/>
          <w:color w:val="000000"/>
          <w:szCs w:val="21"/>
          <w:lang w:val="en-US"/>
        </w:rPr>
        <w:t xml:space="preserve">During 2011 Benjamin worked on a project for the Summer Foundation and the Housing Demonstration Projects campaign through the Melbourne Business School. The aim of the project was to build a sustainable housing model, whereby new accommodation would be funded by the private sector for individuals living with disability. Benjamin continued to work on this model following the completion of the MBA subject in 2011. </w:t>
      </w:r>
    </w:p>
    <w:p w:rsidR="00E579CB" w:rsidRPr="00E579CB" w:rsidRDefault="00E579CB" w:rsidP="00E579CB">
      <w:pPr>
        <w:spacing w:line="280" w:lineRule="atLeast"/>
        <w:rPr>
          <w:rFonts w:cs="HelveticaNeueLTStd-Lt"/>
          <w:color w:val="000000"/>
          <w:szCs w:val="21"/>
          <w:lang w:val="en-US"/>
        </w:rPr>
      </w:pPr>
      <w:r w:rsidRPr="00E579CB">
        <w:rPr>
          <w:rFonts w:cs="HelveticaNeueLTStd-Lt"/>
          <w:color w:val="000000"/>
          <w:szCs w:val="21"/>
          <w:lang w:val="en-US"/>
        </w:rPr>
        <w:t>In February 2012, Benjamin joined the Board of the Summer Foundation.  He is also on the Board of the Crestone Foundation.</w:t>
      </w:r>
    </w:p>
    <w:p w:rsidR="00E579CB" w:rsidRDefault="00E579CB" w:rsidP="00E579CB">
      <w:pPr>
        <w:spacing w:line="280" w:lineRule="atLeast"/>
        <w:rPr>
          <w:rFonts w:cs="Arial"/>
          <w:b/>
          <w:szCs w:val="21"/>
        </w:rPr>
      </w:pPr>
    </w:p>
    <w:p w:rsidR="00E579CB" w:rsidRPr="00E579CB" w:rsidRDefault="00E579CB" w:rsidP="00E579CB">
      <w:pPr>
        <w:spacing w:line="280" w:lineRule="atLeast"/>
        <w:rPr>
          <w:rFonts w:cs="Arial"/>
          <w:b/>
          <w:szCs w:val="21"/>
        </w:rPr>
      </w:pPr>
      <w:r w:rsidRPr="00E579CB">
        <w:rPr>
          <w:rFonts w:cs="Arial"/>
          <w:b/>
          <w:szCs w:val="21"/>
        </w:rPr>
        <w:lastRenderedPageBreak/>
        <w:t>Jason Chequer</w:t>
      </w:r>
    </w:p>
    <w:p w:rsidR="00E579CB" w:rsidRPr="00E579CB" w:rsidRDefault="00E579CB" w:rsidP="00E579CB">
      <w:pPr>
        <w:spacing w:line="280" w:lineRule="atLeast"/>
        <w:rPr>
          <w:rFonts w:cs="Arial"/>
          <w:szCs w:val="21"/>
        </w:rPr>
      </w:pPr>
      <w:proofErr w:type="spellStart"/>
      <w:r w:rsidRPr="00E579CB">
        <w:rPr>
          <w:rFonts w:cs="Arial"/>
          <w:szCs w:val="21"/>
        </w:rPr>
        <w:t>BCom</w:t>
      </w:r>
      <w:proofErr w:type="spellEnd"/>
      <w:r w:rsidRPr="00E579CB">
        <w:rPr>
          <w:rFonts w:cs="Arial"/>
          <w:szCs w:val="21"/>
        </w:rPr>
        <w:t>, Dip. FP, ICAA, FPA</w:t>
      </w:r>
    </w:p>
    <w:p w:rsidR="00E579CB" w:rsidRPr="00E579CB" w:rsidRDefault="00E579CB" w:rsidP="00E579CB">
      <w:pPr>
        <w:spacing w:line="280" w:lineRule="atLeast"/>
        <w:rPr>
          <w:rFonts w:cs="Arial"/>
          <w:color w:val="000000"/>
          <w:szCs w:val="21"/>
        </w:rPr>
      </w:pPr>
      <w:r w:rsidRPr="00E579CB">
        <w:rPr>
          <w:rFonts w:cs="Arial"/>
          <w:color w:val="000000"/>
          <w:szCs w:val="21"/>
        </w:rPr>
        <w:t>Position:</w:t>
      </w:r>
      <w:r w:rsidRPr="00E579CB">
        <w:rPr>
          <w:rFonts w:cs="Arial"/>
          <w:color w:val="000000"/>
          <w:szCs w:val="21"/>
        </w:rPr>
        <w:tab/>
        <w:t xml:space="preserve">Independent Non-Executive Director </w:t>
      </w:r>
    </w:p>
    <w:p w:rsidR="00E579CB" w:rsidRPr="00E579CB" w:rsidRDefault="00E579CB" w:rsidP="00E579CB">
      <w:pPr>
        <w:spacing w:line="280" w:lineRule="atLeast"/>
        <w:rPr>
          <w:rFonts w:cs="Arial"/>
          <w:color w:val="000000"/>
          <w:szCs w:val="21"/>
        </w:rPr>
      </w:pPr>
      <w:r w:rsidRPr="00E579CB">
        <w:rPr>
          <w:rFonts w:cs="Arial"/>
          <w:color w:val="000000"/>
          <w:szCs w:val="21"/>
        </w:rPr>
        <w:tab/>
      </w:r>
      <w:r w:rsidRPr="00E579CB">
        <w:rPr>
          <w:rFonts w:cs="Arial"/>
          <w:color w:val="000000"/>
          <w:szCs w:val="21"/>
        </w:rPr>
        <w:tab/>
        <w:t>Risk &amp; Audit Committee Chairman</w:t>
      </w:r>
    </w:p>
    <w:p w:rsidR="00E579CB" w:rsidRPr="00E579CB" w:rsidRDefault="00E579CB" w:rsidP="00E579CB">
      <w:pPr>
        <w:pStyle w:val="Pa3"/>
        <w:spacing w:after="120" w:line="280" w:lineRule="atLeast"/>
        <w:rPr>
          <w:rFonts w:ascii="Helvetica Neue" w:hAnsi="Helvetica Neue" w:cs="Arial"/>
          <w:color w:val="221E1F"/>
          <w:sz w:val="21"/>
          <w:szCs w:val="21"/>
        </w:rPr>
      </w:pPr>
      <w:r w:rsidRPr="00E579CB">
        <w:rPr>
          <w:rFonts w:ascii="Helvetica Neue" w:hAnsi="Helvetica Neue" w:cs="Arial"/>
          <w:color w:val="221E1F"/>
          <w:sz w:val="21"/>
          <w:szCs w:val="21"/>
        </w:rPr>
        <w:t xml:space="preserve">Jason is an Executive Director of </w:t>
      </w:r>
      <w:proofErr w:type="spellStart"/>
      <w:r w:rsidRPr="00E579CB">
        <w:rPr>
          <w:rFonts w:ascii="Helvetica Neue" w:hAnsi="Helvetica Neue" w:cs="Arial"/>
          <w:color w:val="221E1F"/>
          <w:sz w:val="21"/>
          <w:szCs w:val="21"/>
        </w:rPr>
        <w:t>JBWere</w:t>
      </w:r>
      <w:proofErr w:type="spellEnd"/>
      <w:r w:rsidRPr="00E579CB">
        <w:rPr>
          <w:rFonts w:ascii="Helvetica Neue" w:hAnsi="Helvetica Neue" w:cs="Arial"/>
          <w:color w:val="221E1F"/>
          <w:sz w:val="21"/>
          <w:szCs w:val="21"/>
        </w:rPr>
        <w:t xml:space="preserve">, with over 28 years’ experience in financial services. During a </w:t>
      </w:r>
      <w:proofErr w:type="gramStart"/>
      <w:r w:rsidRPr="00E579CB">
        <w:rPr>
          <w:rFonts w:ascii="Helvetica Neue" w:hAnsi="Helvetica Neue" w:cs="Arial"/>
          <w:color w:val="221E1F"/>
          <w:sz w:val="21"/>
          <w:szCs w:val="21"/>
        </w:rPr>
        <w:t>21 year</w:t>
      </w:r>
      <w:proofErr w:type="gramEnd"/>
      <w:r w:rsidRPr="00E579CB">
        <w:rPr>
          <w:rFonts w:ascii="Helvetica Neue" w:hAnsi="Helvetica Neue" w:cs="Arial"/>
          <w:color w:val="221E1F"/>
          <w:sz w:val="21"/>
          <w:szCs w:val="21"/>
        </w:rPr>
        <w:t xml:space="preserve"> career at </w:t>
      </w:r>
      <w:proofErr w:type="spellStart"/>
      <w:r w:rsidRPr="00E579CB">
        <w:rPr>
          <w:rFonts w:ascii="Helvetica Neue" w:hAnsi="Helvetica Neue" w:cs="Arial"/>
          <w:color w:val="221E1F"/>
          <w:sz w:val="21"/>
          <w:szCs w:val="21"/>
        </w:rPr>
        <w:t>JBWere</w:t>
      </w:r>
      <w:proofErr w:type="spellEnd"/>
      <w:r w:rsidRPr="00E579CB">
        <w:rPr>
          <w:rFonts w:ascii="Helvetica Neue" w:hAnsi="Helvetica Neue" w:cs="Arial"/>
          <w:color w:val="221E1F"/>
          <w:sz w:val="21"/>
          <w:szCs w:val="21"/>
        </w:rPr>
        <w:t xml:space="preserve">, Jason has held various senior positions, including Victorian Manager of Private Wealth Management and National Head of Strategic Wealth Advice. </w:t>
      </w:r>
    </w:p>
    <w:p w:rsidR="00E579CB" w:rsidRPr="00E579CB" w:rsidRDefault="00E579CB" w:rsidP="00E579CB">
      <w:pPr>
        <w:pStyle w:val="Pa3"/>
        <w:spacing w:after="120" w:line="280" w:lineRule="atLeast"/>
        <w:rPr>
          <w:rFonts w:ascii="Helvetica Neue" w:hAnsi="Helvetica Neue" w:cs="Arial"/>
          <w:color w:val="221E1F"/>
          <w:sz w:val="21"/>
          <w:szCs w:val="21"/>
        </w:rPr>
      </w:pPr>
      <w:r w:rsidRPr="00E579CB">
        <w:rPr>
          <w:rFonts w:ascii="Helvetica Neue" w:hAnsi="Helvetica Neue" w:cs="Arial"/>
          <w:color w:val="221E1F"/>
          <w:sz w:val="21"/>
          <w:szCs w:val="21"/>
        </w:rPr>
        <w:t xml:space="preserve">Through his leadership roles at </w:t>
      </w:r>
      <w:proofErr w:type="spellStart"/>
      <w:r w:rsidRPr="00E579CB">
        <w:rPr>
          <w:rFonts w:ascii="Helvetica Neue" w:hAnsi="Helvetica Neue" w:cs="Arial"/>
          <w:color w:val="221E1F"/>
          <w:sz w:val="21"/>
          <w:szCs w:val="21"/>
        </w:rPr>
        <w:t>JBWere</w:t>
      </w:r>
      <w:proofErr w:type="spellEnd"/>
      <w:r w:rsidRPr="00E579CB">
        <w:rPr>
          <w:rFonts w:ascii="Helvetica Neue" w:hAnsi="Helvetica Neue" w:cs="Arial"/>
          <w:color w:val="221E1F"/>
          <w:sz w:val="21"/>
          <w:szCs w:val="21"/>
        </w:rPr>
        <w:t>, Jason has gained extensive experience in both business strategy development and execution across a range of areas, including product and service development and people management.</w:t>
      </w:r>
    </w:p>
    <w:p w:rsidR="00E579CB" w:rsidRPr="00E579CB" w:rsidRDefault="00E579CB" w:rsidP="00E579CB">
      <w:pPr>
        <w:pStyle w:val="Pa3"/>
        <w:spacing w:after="120" w:line="280" w:lineRule="atLeast"/>
        <w:rPr>
          <w:rFonts w:ascii="Helvetica Neue" w:hAnsi="Helvetica Neue" w:cs="Arial"/>
          <w:color w:val="221E1F"/>
          <w:sz w:val="21"/>
          <w:szCs w:val="21"/>
        </w:rPr>
      </w:pPr>
      <w:r w:rsidRPr="00E579CB">
        <w:rPr>
          <w:rFonts w:ascii="Helvetica Neue" w:hAnsi="Helvetica Neue" w:cs="Arial"/>
          <w:color w:val="221E1F"/>
          <w:sz w:val="21"/>
          <w:szCs w:val="21"/>
        </w:rPr>
        <w:t xml:space="preserve">Jason takes an active interest in the philanthropic services that </w:t>
      </w:r>
      <w:proofErr w:type="spellStart"/>
      <w:r w:rsidRPr="00E579CB">
        <w:rPr>
          <w:rFonts w:ascii="Helvetica Neue" w:hAnsi="Helvetica Neue" w:cs="Arial"/>
          <w:color w:val="221E1F"/>
          <w:sz w:val="21"/>
          <w:szCs w:val="21"/>
        </w:rPr>
        <w:t>JBWere</w:t>
      </w:r>
      <w:proofErr w:type="spellEnd"/>
      <w:r w:rsidRPr="00E579CB">
        <w:rPr>
          <w:rFonts w:ascii="Helvetica Neue" w:hAnsi="Helvetica Neue" w:cs="Arial"/>
          <w:color w:val="221E1F"/>
          <w:sz w:val="21"/>
          <w:szCs w:val="21"/>
        </w:rPr>
        <w:t xml:space="preserve"> provides to its clients, providing strategic advice to private philanthropists, boards and committees on donor strategies and structuring; investment charters and strategy and the running of private ancillary funds. </w:t>
      </w:r>
    </w:p>
    <w:p w:rsidR="00E579CB" w:rsidRPr="00E579CB" w:rsidRDefault="00E579CB" w:rsidP="00E579CB">
      <w:pPr>
        <w:pStyle w:val="Pa3"/>
        <w:spacing w:after="120" w:line="280" w:lineRule="atLeast"/>
        <w:rPr>
          <w:rFonts w:ascii="Helvetica Neue" w:hAnsi="Helvetica Neue" w:cs="Arial"/>
          <w:color w:val="221E1F"/>
          <w:sz w:val="21"/>
          <w:szCs w:val="21"/>
        </w:rPr>
      </w:pPr>
      <w:r w:rsidRPr="00E579CB">
        <w:rPr>
          <w:rFonts w:ascii="Helvetica Neue" w:hAnsi="Helvetica Neue" w:cs="Arial"/>
          <w:color w:val="221E1F"/>
          <w:sz w:val="21"/>
          <w:szCs w:val="21"/>
        </w:rPr>
        <w:t xml:space="preserve">Prior to </w:t>
      </w:r>
      <w:proofErr w:type="spellStart"/>
      <w:r w:rsidRPr="00E579CB">
        <w:rPr>
          <w:rFonts w:ascii="Helvetica Neue" w:hAnsi="Helvetica Neue" w:cs="Arial"/>
          <w:color w:val="221E1F"/>
          <w:sz w:val="21"/>
          <w:szCs w:val="21"/>
        </w:rPr>
        <w:t>JBWere</w:t>
      </w:r>
      <w:proofErr w:type="spellEnd"/>
      <w:r w:rsidRPr="00E579CB">
        <w:rPr>
          <w:rFonts w:ascii="Helvetica Neue" w:hAnsi="Helvetica Neue" w:cs="Arial"/>
          <w:color w:val="221E1F"/>
          <w:sz w:val="21"/>
          <w:szCs w:val="21"/>
        </w:rPr>
        <w:t>, Jason worked as a Chartered Accountant for over six years with PwC and Arthur Andersen. Jason has had previous experience with the health sector, working on the Investment Sub Committee of the Public Health Association.</w:t>
      </w:r>
    </w:p>
    <w:p w:rsidR="00E579CB" w:rsidRPr="00E579CB" w:rsidRDefault="00E579CB" w:rsidP="00E579CB">
      <w:pPr>
        <w:pStyle w:val="Pa3"/>
        <w:spacing w:after="120" w:line="280" w:lineRule="atLeast"/>
        <w:rPr>
          <w:rFonts w:ascii="Helvetica Neue" w:hAnsi="Helvetica Neue" w:cs="Arial"/>
          <w:color w:val="221E1F"/>
          <w:sz w:val="21"/>
          <w:szCs w:val="21"/>
        </w:rPr>
      </w:pPr>
      <w:r w:rsidRPr="00E579CB">
        <w:rPr>
          <w:rFonts w:ascii="Helvetica Neue" w:hAnsi="Helvetica Neue" w:cs="Arial"/>
          <w:color w:val="221E1F"/>
          <w:sz w:val="21"/>
          <w:szCs w:val="21"/>
        </w:rPr>
        <w:t xml:space="preserve">Jason is also currently serving as a committee member of the Victorian Adviser Committee of the Family Business Association. </w:t>
      </w:r>
    </w:p>
    <w:p w:rsidR="00E579CB" w:rsidRPr="00E579CB" w:rsidRDefault="00E579CB" w:rsidP="00E579CB">
      <w:pPr>
        <w:spacing w:line="280" w:lineRule="atLeast"/>
        <w:rPr>
          <w:szCs w:val="21"/>
          <w:lang w:val="en-US" w:eastAsia="ja-JP"/>
        </w:rPr>
      </w:pPr>
    </w:p>
    <w:p w:rsidR="00E579CB" w:rsidRPr="00E579CB" w:rsidRDefault="00E579CB" w:rsidP="00E579CB">
      <w:pPr>
        <w:spacing w:line="280" w:lineRule="atLeast"/>
        <w:rPr>
          <w:rFonts w:cs="Arial"/>
          <w:b/>
          <w:szCs w:val="21"/>
        </w:rPr>
      </w:pPr>
      <w:r w:rsidRPr="00E579CB">
        <w:rPr>
          <w:rFonts w:cs="Arial"/>
          <w:b/>
          <w:szCs w:val="21"/>
        </w:rPr>
        <w:t>Professor Jacinta Douglas</w:t>
      </w:r>
    </w:p>
    <w:p w:rsidR="00E579CB" w:rsidRPr="00E579CB" w:rsidRDefault="00E579CB" w:rsidP="00E579CB">
      <w:pPr>
        <w:spacing w:line="280" w:lineRule="atLeast"/>
        <w:rPr>
          <w:rFonts w:cs="Arial"/>
          <w:color w:val="000000"/>
          <w:szCs w:val="21"/>
        </w:rPr>
      </w:pPr>
      <w:r w:rsidRPr="00E579CB">
        <w:rPr>
          <w:rFonts w:cs="Arial"/>
          <w:color w:val="000000"/>
          <w:szCs w:val="21"/>
        </w:rPr>
        <w:t xml:space="preserve">Position: </w:t>
      </w:r>
      <w:r w:rsidRPr="00E579CB">
        <w:rPr>
          <w:rFonts w:cs="Arial"/>
          <w:color w:val="000000"/>
          <w:szCs w:val="21"/>
        </w:rPr>
        <w:tab/>
        <w:t>Independent Non-Executive Director</w:t>
      </w:r>
    </w:p>
    <w:p w:rsidR="00E579CB" w:rsidRPr="00E579CB" w:rsidRDefault="00E579CB" w:rsidP="00E579CB">
      <w:pPr>
        <w:pStyle w:val="Pa3"/>
        <w:spacing w:after="120" w:line="280" w:lineRule="atLeast"/>
        <w:rPr>
          <w:rFonts w:ascii="Helvetica Neue" w:hAnsi="Helvetica Neue" w:cs="Arial"/>
          <w:color w:val="221E1F"/>
          <w:sz w:val="21"/>
          <w:szCs w:val="21"/>
        </w:rPr>
      </w:pPr>
      <w:r w:rsidRPr="00E579CB">
        <w:rPr>
          <w:rFonts w:ascii="Helvetica Neue" w:hAnsi="Helvetica Neue" w:cs="Arial"/>
          <w:color w:val="221E1F"/>
          <w:sz w:val="21"/>
          <w:szCs w:val="21"/>
        </w:rPr>
        <w:t>Professor Douglas is the Summer Foundation Chair of Living Well with Brain Injury at La Trobe University in the Living with Disability Research Centre.</w:t>
      </w:r>
    </w:p>
    <w:p w:rsidR="00E579CB" w:rsidRPr="00E579CB" w:rsidRDefault="00E579CB" w:rsidP="00E579CB">
      <w:pPr>
        <w:pStyle w:val="Pa3"/>
        <w:spacing w:after="120" w:line="280" w:lineRule="atLeast"/>
        <w:rPr>
          <w:rFonts w:ascii="Helvetica Neue" w:hAnsi="Helvetica Neue" w:cs="Arial"/>
          <w:color w:val="221E1F"/>
          <w:sz w:val="21"/>
          <w:szCs w:val="21"/>
        </w:rPr>
      </w:pPr>
      <w:r w:rsidRPr="00E579CB">
        <w:rPr>
          <w:rFonts w:ascii="Helvetica Neue" w:hAnsi="Helvetica Neue" w:cs="Arial"/>
          <w:color w:val="221E1F"/>
          <w:sz w:val="21"/>
          <w:szCs w:val="21"/>
        </w:rPr>
        <w:t xml:space="preserve">Jacinta’s qualifications span the disciplines of speech pathology, clinical psychology and neuropsychology. She has extensive research and clinical experience in the rehabilitation of adults with acquired brain injury (ABI). Her research contribution is internationally </w:t>
      </w:r>
      <w:proofErr w:type="spellStart"/>
      <w:r w:rsidRPr="00E579CB">
        <w:rPr>
          <w:rFonts w:ascii="Helvetica Neue" w:hAnsi="Helvetica Neue" w:cs="Arial"/>
          <w:color w:val="221E1F"/>
          <w:sz w:val="21"/>
          <w:szCs w:val="21"/>
        </w:rPr>
        <w:t>recognised</w:t>
      </w:r>
      <w:proofErr w:type="spellEnd"/>
      <w:r w:rsidRPr="00E579CB">
        <w:rPr>
          <w:rFonts w:ascii="Helvetica Neue" w:hAnsi="Helvetica Neue" w:cs="Arial"/>
          <w:color w:val="221E1F"/>
          <w:sz w:val="21"/>
          <w:szCs w:val="21"/>
        </w:rPr>
        <w:t xml:space="preserve"> and has advanced knowledge in the domains of interpersonal communication and psychosocial functioning following brain injury. Her work in these areas focuses on </w:t>
      </w:r>
      <w:proofErr w:type="spellStart"/>
      <w:r w:rsidRPr="00E579CB">
        <w:rPr>
          <w:rFonts w:ascii="Helvetica Neue" w:hAnsi="Helvetica Neue" w:cs="Arial"/>
          <w:color w:val="221E1F"/>
          <w:sz w:val="21"/>
          <w:szCs w:val="21"/>
        </w:rPr>
        <w:t>maximising</w:t>
      </w:r>
      <w:proofErr w:type="spellEnd"/>
      <w:r w:rsidRPr="00E579CB">
        <w:rPr>
          <w:rFonts w:ascii="Helvetica Neue" w:hAnsi="Helvetica Neue" w:cs="Arial"/>
          <w:color w:val="221E1F"/>
          <w:sz w:val="21"/>
          <w:szCs w:val="21"/>
        </w:rPr>
        <w:t xml:space="preserve"> the ability of people with brain injury to participate fully in society across all levels of functioning. Jacinta has published more than 120 peer reviewed papers in international journals and authored 12 book chapters.</w:t>
      </w:r>
    </w:p>
    <w:p w:rsidR="00E579CB" w:rsidRPr="00E579CB" w:rsidRDefault="00E579CB" w:rsidP="00E579CB">
      <w:pPr>
        <w:pStyle w:val="Pa3"/>
        <w:spacing w:after="120" w:line="280" w:lineRule="atLeast"/>
        <w:rPr>
          <w:rFonts w:ascii="Helvetica Neue" w:hAnsi="Helvetica Neue" w:cs="Arial"/>
          <w:color w:val="221E1F"/>
          <w:sz w:val="21"/>
          <w:szCs w:val="21"/>
        </w:rPr>
      </w:pPr>
      <w:r w:rsidRPr="00E579CB">
        <w:rPr>
          <w:rFonts w:ascii="Helvetica Neue" w:hAnsi="Helvetica Neue" w:cs="Arial"/>
          <w:color w:val="221E1F"/>
          <w:sz w:val="21"/>
          <w:szCs w:val="21"/>
        </w:rPr>
        <w:t xml:space="preserve">Since 2014 Jacinta has led the research partnership between La Trobe University and the Summer Foundation. This research program focuses on measurement of the outcomes of interventions related to the lifetime support of people with ABI across the domains of housing, health, and social inclusion. </w:t>
      </w:r>
    </w:p>
    <w:p w:rsidR="00E579CB" w:rsidRPr="00E579CB" w:rsidRDefault="00E579CB" w:rsidP="00E579CB">
      <w:pPr>
        <w:pStyle w:val="Pa3"/>
        <w:spacing w:after="120" w:line="280" w:lineRule="atLeast"/>
        <w:rPr>
          <w:rFonts w:ascii="Helvetica Neue" w:hAnsi="Helvetica Neue" w:cs="Arial"/>
          <w:i/>
          <w:color w:val="221E1F"/>
          <w:sz w:val="21"/>
          <w:szCs w:val="21"/>
        </w:rPr>
      </w:pPr>
      <w:r w:rsidRPr="00E579CB">
        <w:rPr>
          <w:rFonts w:ascii="Helvetica Neue" w:hAnsi="Helvetica Neue" w:cs="Arial"/>
          <w:color w:val="221E1F"/>
          <w:sz w:val="21"/>
          <w:szCs w:val="21"/>
        </w:rPr>
        <w:t xml:space="preserve">Jacinta is immediate past president of the Australasian Society for the Study of Brain Impairment (ASSBI). She is a Fellow of ASSBI and the Speech Pathology Association of Australia and is founding co-editor of the multidisciplinary journal </w:t>
      </w:r>
      <w:r w:rsidRPr="00E579CB">
        <w:rPr>
          <w:rFonts w:ascii="Helvetica Neue" w:hAnsi="Helvetica Neue" w:cs="Arial"/>
          <w:i/>
          <w:color w:val="221E1F"/>
          <w:sz w:val="21"/>
          <w:szCs w:val="21"/>
        </w:rPr>
        <w:t>Brain Impairment.</w:t>
      </w:r>
    </w:p>
    <w:p w:rsidR="00E579CB" w:rsidRDefault="00E579CB" w:rsidP="00E579CB">
      <w:pPr>
        <w:spacing w:line="280" w:lineRule="atLeast"/>
        <w:rPr>
          <w:rFonts w:cs="Arial"/>
          <w:b/>
          <w:color w:val="221E1F"/>
          <w:szCs w:val="21"/>
        </w:rPr>
      </w:pPr>
    </w:p>
    <w:p w:rsidR="00E579CB" w:rsidRPr="00E579CB" w:rsidRDefault="00E579CB" w:rsidP="00E579CB">
      <w:pPr>
        <w:spacing w:line="280" w:lineRule="atLeast"/>
        <w:rPr>
          <w:rFonts w:cs="Arial"/>
          <w:b/>
          <w:color w:val="221E1F"/>
          <w:szCs w:val="21"/>
        </w:rPr>
      </w:pPr>
      <w:r w:rsidRPr="00E579CB">
        <w:rPr>
          <w:rFonts w:cs="Arial"/>
          <w:b/>
          <w:color w:val="221E1F"/>
          <w:szCs w:val="21"/>
        </w:rPr>
        <w:lastRenderedPageBreak/>
        <w:t>Graeme Innes AM</w:t>
      </w:r>
    </w:p>
    <w:p w:rsidR="00E579CB" w:rsidRPr="00E579CB" w:rsidRDefault="00E579CB" w:rsidP="00E579CB">
      <w:pPr>
        <w:spacing w:line="240" w:lineRule="auto"/>
        <w:rPr>
          <w:rFonts w:cs="Arial"/>
          <w:color w:val="221E1F"/>
          <w:szCs w:val="21"/>
        </w:rPr>
      </w:pPr>
      <w:r w:rsidRPr="00E579CB">
        <w:rPr>
          <w:rFonts w:cs="Arial"/>
          <w:color w:val="221E1F"/>
          <w:szCs w:val="21"/>
        </w:rPr>
        <w:t>LLB</w:t>
      </w:r>
    </w:p>
    <w:p w:rsidR="00E579CB" w:rsidRPr="00E579CB" w:rsidRDefault="00E579CB" w:rsidP="00E579CB">
      <w:pPr>
        <w:spacing w:line="280" w:lineRule="atLeast"/>
        <w:rPr>
          <w:rFonts w:cs="Arial"/>
          <w:color w:val="000000"/>
          <w:szCs w:val="21"/>
        </w:rPr>
      </w:pPr>
      <w:r w:rsidRPr="00E579CB">
        <w:rPr>
          <w:rFonts w:cs="Arial"/>
          <w:color w:val="000000"/>
          <w:szCs w:val="21"/>
        </w:rPr>
        <w:t xml:space="preserve">Position: </w:t>
      </w:r>
      <w:r w:rsidRPr="00E579CB">
        <w:rPr>
          <w:rFonts w:cs="Arial"/>
          <w:color w:val="000000"/>
          <w:szCs w:val="21"/>
        </w:rPr>
        <w:tab/>
        <w:t>Independent Non- Executive Director</w:t>
      </w:r>
    </w:p>
    <w:p w:rsidR="00E579CB" w:rsidRPr="00E579CB" w:rsidRDefault="00E579CB" w:rsidP="00E579CB">
      <w:pPr>
        <w:pStyle w:val="Pa3"/>
        <w:spacing w:after="120" w:line="280" w:lineRule="atLeast"/>
        <w:rPr>
          <w:rFonts w:ascii="Helvetica Neue" w:hAnsi="Helvetica Neue" w:cs="Arial"/>
          <w:color w:val="221E1F"/>
          <w:sz w:val="21"/>
          <w:szCs w:val="21"/>
        </w:rPr>
      </w:pPr>
      <w:r w:rsidRPr="00E579CB">
        <w:rPr>
          <w:rFonts w:ascii="Helvetica Neue" w:hAnsi="Helvetica Neue" w:cs="Arial"/>
          <w:color w:val="221E1F"/>
          <w:sz w:val="21"/>
          <w:szCs w:val="21"/>
        </w:rPr>
        <w:t xml:space="preserve">Graeme Innes was Australia's Disability Discrimination Commissioner from December 2005 to July 2014. During that </w:t>
      </w:r>
      <w:proofErr w:type="gramStart"/>
      <w:r w:rsidRPr="00E579CB">
        <w:rPr>
          <w:rFonts w:ascii="Helvetica Neue" w:hAnsi="Helvetica Neue" w:cs="Arial"/>
          <w:color w:val="221E1F"/>
          <w:sz w:val="21"/>
          <w:szCs w:val="21"/>
        </w:rPr>
        <w:t>time</w:t>
      </w:r>
      <w:proofErr w:type="gramEnd"/>
      <w:r w:rsidRPr="00E579CB">
        <w:rPr>
          <w:rFonts w:ascii="Helvetica Neue" w:hAnsi="Helvetica Neue" w:cs="Arial"/>
          <w:color w:val="221E1F"/>
          <w:sz w:val="21"/>
          <w:szCs w:val="21"/>
        </w:rPr>
        <w:t xml:space="preserve"> he has also served as Australia's Human Rights Commissioner for three and a half years and as Race Discrimination Commissioner for two years.</w:t>
      </w:r>
      <w:r w:rsidRPr="00E579CB">
        <w:rPr>
          <w:rFonts w:ascii="Helvetica Neue" w:hAnsi="Helvetica Neue" w:cs="Arial"/>
          <w:color w:val="221E1F"/>
          <w:sz w:val="21"/>
          <w:szCs w:val="21"/>
        </w:rPr>
        <w:br/>
      </w:r>
      <w:r w:rsidRPr="00E579CB">
        <w:rPr>
          <w:rFonts w:ascii="Helvetica Neue" w:hAnsi="Helvetica Neue" w:cs="Arial"/>
          <w:color w:val="221E1F"/>
          <w:sz w:val="21"/>
          <w:szCs w:val="21"/>
        </w:rPr>
        <w:br/>
        <w:t>Graeme is a Lawyer, Mediator and Company Director. He has been a Human Rights Practitioner for 30 years in NSW, WA and nationally.</w:t>
      </w:r>
      <w:r w:rsidRPr="00E579CB">
        <w:rPr>
          <w:rFonts w:ascii="Helvetica Neue" w:hAnsi="Helvetica Neue" w:cs="Arial"/>
          <w:color w:val="221E1F"/>
          <w:sz w:val="21"/>
          <w:szCs w:val="21"/>
        </w:rPr>
        <w:br/>
      </w:r>
      <w:r w:rsidRPr="00E579CB">
        <w:rPr>
          <w:rFonts w:ascii="Helvetica Neue" w:hAnsi="Helvetica Neue" w:cs="Arial"/>
          <w:color w:val="221E1F"/>
          <w:sz w:val="21"/>
          <w:szCs w:val="21"/>
        </w:rPr>
        <w:br/>
        <w:t>As Commissioner, Graeme has led or contributed to the success of a number of initiatives. These have included the Same Sex: Same Entitlements inquiry, which resulted in removal of discrimination across federal law; the drafting of the United Nations Convention on the Rights of Persons with Disabilities, and its ratification by Australia.</w:t>
      </w:r>
      <w:r w:rsidRPr="00E579CB">
        <w:rPr>
          <w:rFonts w:ascii="Helvetica Neue" w:hAnsi="Helvetica Neue" w:cs="Arial"/>
          <w:color w:val="221E1F"/>
          <w:sz w:val="21"/>
          <w:szCs w:val="21"/>
        </w:rPr>
        <w:br/>
      </w:r>
      <w:r w:rsidRPr="00E579CB">
        <w:rPr>
          <w:rFonts w:ascii="Helvetica Neue" w:hAnsi="Helvetica Neue" w:cs="Arial"/>
          <w:color w:val="221E1F"/>
          <w:sz w:val="21"/>
          <w:szCs w:val="21"/>
        </w:rPr>
        <w:br/>
        <w:t>Graeme was also crucial to the development of the National Disability Strategy and the Disability (Access to Premises – buildings) Standards 2010; as well as the establishment of Livable Housing Australia.</w:t>
      </w:r>
      <w:r w:rsidRPr="00E579CB">
        <w:rPr>
          <w:rFonts w:ascii="Helvetica Neue" w:hAnsi="Helvetica Neue" w:cs="Arial"/>
          <w:color w:val="221E1F"/>
          <w:sz w:val="21"/>
          <w:szCs w:val="21"/>
        </w:rPr>
        <w:br/>
      </w:r>
      <w:r w:rsidRPr="00E579CB">
        <w:rPr>
          <w:rFonts w:ascii="Helvetica Neue" w:hAnsi="Helvetica Neue" w:cs="Arial"/>
          <w:color w:val="221E1F"/>
          <w:sz w:val="21"/>
          <w:szCs w:val="21"/>
        </w:rPr>
        <w:br/>
        <w:t>Graeme has also been an active high profile advocate for the implementation of cinema captioning and audio descriptions and, as Human Rights Commissioner, undertook three annual inspections of Australia’s Immigration Detention facilities.</w:t>
      </w:r>
      <w:r w:rsidRPr="00E579CB">
        <w:rPr>
          <w:rFonts w:ascii="Helvetica Neue" w:hAnsi="Helvetica Neue" w:cs="Arial"/>
          <w:color w:val="221E1F"/>
          <w:sz w:val="21"/>
          <w:szCs w:val="21"/>
        </w:rPr>
        <w:br/>
      </w:r>
      <w:r w:rsidRPr="00E579CB">
        <w:rPr>
          <w:rFonts w:ascii="Helvetica Neue" w:hAnsi="Helvetica Neue" w:cs="Arial"/>
          <w:color w:val="221E1F"/>
          <w:sz w:val="21"/>
          <w:szCs w:val="21"/>
        </w:rPr>
        <w:br/>
        <w:t>Graeme has been a Member of the NSW Administrative Decisions Tribunal; the NSW Consumer, Trader and Tenancy Tribunal; and the Social Security Appeals Tribunal. He has also been a Hearing Commissioner with the Human Rights and Equal Opportunity Commission.</w:t>
      </w:r>
      <w:r w:rsidRPr="00E579CB">
        <w:rPr>
          <w:rFonts w:ascii="Helvetica Neue" w:hAnsi="Helvetica Neue" w:cs="Arial"/>
          <w:color w:val="221E1F"/>
          <w:sz w:val="21"/>
          <w:szCs w:val="21"/>
        </w:rPr>
        <w:br/>
      </w:r>
      <w:r w:rsidRPr="00E579CB">
        <w:rPr>
          <w:rFonts w:ascii="Helvetica Neue" w:hAnsi="Helvetica Neue" w:cs="Arial"/>
          <w:color w:val="221E1F"/>
          <w:sz w:val="21"/>
          <w:szCs w:val="21"/>
        </w:rPr>
        <w:br/>
        <w:t>Graeme was Chair of the Disability Advisory Council of Australia, and the first Chair of Australia's national blindness agency, Vision Australia. In 1995 Graeme was made a Member of the Order of Australia (AM). In 2003, he was a finalist for Australian of the Year.</w:t>
      </w:r>
    </w:p>
    <w:p w:rsidR="00E579CB" w:rsidRDefault="00E579CB" w:rsidP="00E579CB">
      <w:pPr>
        <w:pStyle w:val="Pa3"/>
        <w:spacing w:after="120" w:line="280" w:lineRule="atLeast"/>
        <w:rPr>
          <w:rFonts w:ascii="Helvetica Neue" w:hAnsi="Helvetica Neue" w:cs="Arial"/>
          <w:color w:val="221E1F"/>
          <w:sz w:val="21"/>
          <w:szCs w:val="21"/>
        </w:rPr>
      </w:pPr>
      <w:r w:rsidRPr="00E579CB">
        <w:rPr>
          <w:rFonts w:ascii="Helvetica Neue" w:hAnsi="Helvetica Neue" w:cs="Arial"/>
          <w:color w:val="221E1F"/>
          <w:sz w:val="21"/>
          <w:szCs w:val="21"/>
        </w:rPr>
        <w:t>Graeme now works as a non-executive director, serving on this board, and the boards of The State Insurance Regulatory Authority of NSW, Life Without Barriers, The Pricing Regulation Group of the National Disability Insurance Agency, and is Chair of the Attitude Foundation. </w:t>
      </w:r>
    </w:p>
    <w:p w:rsidR="00E579CB" w:rsidRDefault="00E579CB">
      <w:pPr>
        <w:spacing w:after="0" w:line="240" w:lineRule="auto"/>
        <w:rPr>
          <w:rFonts w:eastAsia="MS P??" w:cs="Arial"/>
          <w:color w:val="221E1F"/>
          <w:szCs w:val="21"/>
          <w:lang w:val="en-US" w:eastAsia="ja-JP"/>
        </w:rPr>
      </w:pPr>
      <w:r>
        <w:rPr>
          <w:rFonts w:cs="Arial"/>
          <w:color w:val="221E1F"/>
          <w:szCs w:val="21"/>
        </w:rPr>
        <w:br w:type="page"/>
      </w:r>
    </w:p>
    <w:p w:rsidR="00E579CB" w:rsidRPr="00E579CB" w:rsidRDefault="00E579CB" w:rsidP="00E579CB">
      <w:pPr>
        <w:spacing w:line="280" w:lineRule="atLeast"/>
        <w:rPr>
          <w:rFonts w:cs="Arial"/>
          <w:b/>
          <w:color w:val="221E1F"/>
          <w:szCs w:val="21"/>
        </w:rPr>
      </w:pPr>
      <w:r w:rsidRPr="00E579CB">
        <w:rPr>
          <w:rFonts w:cs="Arial"/>
          <w:b/>
          <w:color w:val="221E1F"/>
          <w:szCs w:val="21"/>
        </w:rPr>
        <w:lastRenderedPageBreak/>
        <w:t>Adam Horsburgh</w:t>
      </w:r>
    </w:p>
    <w:p w:rsidR="00E579CB" w:rsidRPr="00E579CB" w:rsidRDefault="00E579CB" w:rsidP="00E579CB">
      <w:pPr>
        <w:spacing w:line="240" w:lineRule="auto"/>
        <w:rPr>
          <w:rFonts w:cs="Arial"/>
          <w:color w:val="221E1F"/>
          <w:szCs w:val="21"/>
        </w:rPr>
      </w:pPr>
      <w:r w:rsidRPr="00E579CB">
        <w:rPr>
          <w:rFonts w:cs="Arial"/>
          <w:color w:val="221E1F"/>
          <w:szCs w:val="21"/>
        </w:rPr>
        <w:t xml:space="preserve">Position: </w:t>
      </w:r>
      <w:r w:rsidRPr="00E579CB">
        <w:rPr>
          <w:rFonts w:cs="Arial"/>
          <w:color w:val="221E1F"/>
          <w:szCs w:val="21"/>
        </w:rPr>
        <w:tab/>
        <w:t>Independent Non- Executive Director</w:t>
      </w:r>
    </w:p>
    <w:p w:rsidR="00E579CB" w:rsidRPr="00E579CB" w:rsidRDefault="00E579CB" w:rsidP="00E579CB">
      <w:pPr>
        <w:spacing w:line="280" w:lineRule="atLeast"/>
        <w:rPr>
          <w:rFonts w:cs="Arial"/>
          <w:color w:val="221E1F"/>
          <w:szCs w:val="21"/>
        </w:rPr>
      </w:pPr>
      <w:r w:rsidRPr="00E579CB">
        <w:rPr>
          <w:rFonts w:cs="Arial"/>
          <w:color w:val="221E1F"/>
          <w:szCs w:val="21"/>
        </w:rPr>
        <w:t xml:space="preserve">Adam is the Deputy Chief Executive and Chief Operating Officer of Melbourne Health. He has a strong background in operations health service management, both locally and in the UK, with the NHS. </w:t>
      </w:r>
    </w:p>
    <w:p w:rsidR="00E579CB" w:rsidRPr="00E579CB" w:rsidRDefault="00E579CB" w:rsidP="00E579CB">
      <w:pPr>
        <w:spacing w:line="280" w:lineRule="atLeast"/>
        <w:rPr>
          <w:rFonts w:cs="Arial"/>
          <w:color w:val="221E1F"/>
          <w:szCs w:val="21"/>
        </w:rPr>
      </w:pPr>
      <w:r w:rsidRPr="00E579CB">
        <w:rPr>
          <w:rFonts w:cs="Arial"/>
          <w:color w:val="221E1F"/>
          <w:szCs w:val="21"/>
        </w:rPr>
        <w:t>As a graduate of the NHS’ Management Training Scheme in the UK, he held a range of operational management roles in the NHS. He worked for PricewaterhouseCoopers Public Sector Consulting Practice, where he undertook financial and operational improvement projects across NHS Trusts and Social Services departments.</w:t>
      </w:r>
    </w:p>
    <w:p w:rsidR="00E579CB" w:rsidRPr="00E579CB" w:rsidRDefault="00E579CB" w:rsidP="00E579CB">
      <w:pPr>
        <w:spacing w:line="280" w:lineRule="atLeast"/>
        <w:rPr>
          <w:rFonts w:cs="Arial"/>
          <w:color w:val="221E1F"/>
          <w:szCs w:val="21"/>
        </w:rPr>
      </w:pPr>
      <w:r w:rsidRPr="00E579CB">
        <w:rPr>
          <w:rFonts w:cs="Arial"/>
          <w:color w:val="221E1F"/>
          <w:szCs w:val="21"/>
        </w:rPr>
        <w:t>Adam spent eight years at Monash Health in charge of operations at Monash Medical Centre, Moorabbin Hospital, and ambulatory and community-based services. He also held the Executive Portfolio of Strategy and Planning and was the Executive Director for Jessie McPherson Private Hospital.  </w:t>
      </w:r>
    </w:p>
    <w:p w:rsidR="00E579CB" w:rsidRPr="00E579CB" w:rsidRDefault="00E579CB" w:rsidP="00E579CB">
      <w:pPr>
        <w:spacing w:line="280" w:lineRule="atLeast"/>
        <w:rPr>
          <w:rFonts w:cs="Arial"/>
          <w:color w:val="221E1F"/>
          <w:szCs w:val="21"/>
        </w:rPr>
      </w:pPr>
      <w:r w:rsidRPr="00E579CB">
        <w:rPr>
          <w:rFonts w:cs="Arial"/>
          <w:color w:val="221E1F"/>
          <w:szCs w:val="21"/>
        </w:rPr>
        <w:t>Prior to taking up his current role, Adam was the Director of Performance and System Design at the Department of Health and Human Services. In this role, Adam was responsible for the monitoring and management of performance across Victoria's 85 health services, including Ambulance Victoria. </w:t>
      </w:r>
    </w:p>
    <w:p w:rsidR="00E579CB" w:rsidRPr="00E579CB" w:rsidRDefault="00E579CB" w:rsidP="00E579CB">
      <w:pPr>
        <w:spacing w:line="280" w:lineRule="atLeast"/>
        <w:rPr>
          <w:rFonts w:cs="Arial"/>
          <w:color w:val="221E1F"/>
          <w:szCs w:val="21"/>
        </w:rPr>
      </w:pPr>
    </w:p>
    <w:p w:rsidR="00E579CB" w:rsidRPr="00E579CB" w:rsidRDefault="00E579CB" w:rsidP="00E579CB">
      <w:pPr>
        <w:spacing w:line="280" w:lineRule="atLeast"/>
        <w:rPr>
          <w:rFonts w:cs="Arial"/>
          <w:b/>
          <w:color w:val="221E1F"/>
          <w:szCs w:val="21"/>
        </w:rPr>
      </w:pPr>
      <w:r w:rsidRPr="00E579CB">
        <w:rPr>
          <w:rFonts w:cs="Arial"/>
          <w:b/>
          <w:color w:val="221E1F"/>
          <w:szCs w:val="21"/>
        </w:rPr>
        <w:t>Professor Andrew Way</w:t>
      </w:r>
    </w:p>
    <w:p w:rsidR="00E579CB" w:rsidRPr="00E579CB" w:rsidRDefault="00E579CB" w:rsidP="00E579CB">
      <w:pPr>
        <w:spacing w:line="240" w:lineRule="auto"/>
        <w:rPr>
          <w:rFonts w:cs="Arial"/>
          <w:color w:val="221E1F"/>
          <w:szCs w:val="21"/>
        </w:rPr>
      </w:pPr>
      <w:r w:rsidRPr="00E579CB">
        <w:rPr>
          <w:rFonts w:cs="Arial"/>
          <w:color w:val="221E1F"/>
          <w:szCs w:val="21"/>
        </w:rPr>
        <w:t xml:space="preserve">Position: </w:t>
      </w:r>
      <w:r w:rsidRPr="00E579CB">
        <w:rPr>
          <w:rFonts w:cs="Arial"/>
          <w:color w:val="221E1F"/>
          <w:szCs w:val="21"/>
        </w:rPr>
        <w:tab/>
        <w:t>Independent Non- Executive Director</w:t>
      </w:r>
    </w:p>
    <w:p w:rsidR="00E579CB" w:rsidRPr="00E579CB" w:rsidRDefault="00E579CB" w:rsidP="00E579CB">
      <w:pPr>
        <w:spacing w:line="280" w:lineRule="atLeast"/>
        <w:rPr>
          <w:rFonts w:cs="Arial"/>
          <w:color w:val="221E1F"/>
          <w:szCs w:val="21"/>
        </w:rPr>
      </w:pPr>
      <w:r w:rsidRPr="00E579CB">
        <w:rPr>
          <w:rFonts w:cs="Arial"/>
          <w:color w:val="221E1F"/>
          <w:szCs w:val="21"/>
        </w:rPr>
        <w:t xml:space="preserve">Professor Andrew Way is the Chief Executive of Alfred Health. He has held this position since 2009. Prior to this Andrew was based in the UK where he had an extensive career in the NHS, and held the position of CEO of the Royal Free Hampstead NHS Trust. </w:t>
      </w:r>
    </w:p>
    <w:p w:rsidR="00E579CB" w:rsidRPr="00E579CB" w:rsidRDefault="00E579CB" w:rsidP="00E579CB">
      <w:pPr>
        <w:spacing w:line="280" w:lineRule="atLeast"/>
        <w:rPr>
          <w:rFonts w:cs="Arial"/>
          <w:color w:val="221E1F"/>
          <w:szCs w:val="21"/>
        </w:rPr>
      </w:pPr>
      <w:r w:rsidRPr="00E579CB">
        <w:rPr>
          <w:rFonts w:cs="Arial"/>
          <w:color w:val="221E1F"/>
          <w:szCs w:val="21"/>
        </w:rPr>
        <w:t xml:space="preserve">Upon his relocation to Melbourne, Andrew cemented his strong health background with a position leading the development of Victoria’s first Academic Health Science Centre at Monash Partners, which is now an accredited NHMRC Advanced Health and Research Translation Centre. </w:t>
      </w:r>
    </w:p>
    <w:p w:rsidR="00E579CB" w:rsidRPr="00E579CB" w:rsidRDefault="00E579CB" w:rsidP="00E579CB">
      <w:pPr>
        <w:spacing w:line="280" w:lineRule="atLeast"/>
        <w:rPr>
          <w:rFonts w:cs="Arial"/>
          <w:color w:val="221E1F"/>
          <w:szCs w:val="21"/>
        </w:rPr>
      </w:pPr>
      <w:r w:rsidRPr="00E579CB">
        <w:rPr>
          <w:rFonts w:cs="Arial"/>
          <w:color w:val="221E1F"/>
          <w:szCs w:val="21"/>
        </w:rPr>
        <w:t xml:space="preserve">In 2015 he was appointed as an Adjunct Clinical Professor in the school of Public Health and Preventative Medicine in the Faculty of Medicine, Nursing and Health Sciences at Monash University. In the 2019 New </w:t>
      </w:r>
      <w:proofErr w:type="spellStart"/>
      <w:r w:rsidRPr="00E579CB">
        <w:rPr>
          <w:rFonts w:cs="Arial"/>
          <w:color w:val="221E1F"/>
          <w:szCs w:val="21"/>
        </w:rPr>
        <w:t>Years</w:t>
      </w:r>
      <w:proofErr w:type="spellEnd"/>
      <w:r w:rsidRPr="00E579CB">
        <w:rPr>
          <w:rFonts w:cs="Arial"/>
          <w:color w:val="221E1F"/>
          <w:szCs w:val="21"/>
        </w:rPr>
        <w:t xml:space="preserve"> Honours he was awarded a Member of the Order of Australia (AM) for services to clinical research.</w:t>
      </w:r>
    </w:p>
    <w:p w:rsidR="00E579CB" w:rsidRPr="00E579CB" w:rsidRDefault="00E579CB" w:rsidP="00E579CB">
      <w:pPr>
        <w:spacing w:line="280" w:lineRule="atLeast"/>
        <w:rPr>
          <w:rFonts w:cs="Arial"/>
          <w:color w:val="221E1F"/>
          <w:szCs w:val="21"/>
        </w:rPr>
      </w:pPr>
      <w:r w:rsidRPr="00E579CB">
        <w:rPr>
          <w:rFonts w:cs="Arial"/>
          <w:color w:val="221E1F"/>
          <w:szCs w:val="21"/>
        </w:rPr>
        <w:t xml:space="preserve">He has a strong focus on ensuring and improving access to high quality, safe services, underscored by a strong financial framework and a research-supportive environment. </w:t>
      </w:r>
    </w:p>
    <w:p w:rsidR="00E579CB" w:rsidRDefault="00E579CB">
      <w:pPr>
        <w:spacing w:after="0" w:line="240" w:lineRule="auto"/>
        <w:rPr>
          <w:rStyle w:val="Tablecharbold9pt"/>
          <w:rFonts w:ascii="Helvetica Neue" w:hAnsi="Helvetica Neue"/>
          <w:noProof/>
          <w:color w:val="000000"/>
          <w:sz w:val="21"/>
          <w:szCs w:val="21"/>
          <w:lang w:val="en-US"/>
        </w:rPr>
      </w:pPr>
      <w:r>
        <w:rPr>
          <w:rStyle w:val="Tablecharbold9pt"/>
          <w:rFonts w:ascii="Helvetica Neue" w:hAnsi="Helvetica Neue"/>
          <w:noProof/>
          <w:color w:val="000000"/>
          <w:sz w:val="21"/>
          <w:szCs w:val="21"/>
          <w:lang w:val="en-US"/>
        </w:rPr>
        <w:br w:type="page"/>
      </w:r>
    </w:p>
    <w:p w:rsidR="00E579CB" w:rsidRPr="00E579CB" w:rsidRDefault="00E579CB" w:rsidP="00E579CB">
      <w:pPr>
        <w:spacing w:line="280" w:lineRule="atLeast"/>
        <w:rPr>
          <w:rStyle w:val="Tablecharbold9pt"/>
          <w:rFonts w:ascii="Helvetica Neue" w:hAnsi="Helvetica Neue"/>
          <w:noProof/>
          <w:color w:val="000000"/>
          <w:sz w:val="21"/>
          <w:szCs w:val="21"/>
          <w:lang w:val="en-US"/>
        </w:rPr>
      </w:pPr>
      <w:r w:rsidRPr="00E579CB">
        <w:rPr>
          <w:rStyle w:val="Tablecharbold9pt"/>
          <w:rFonts w:ascii="Helvetica Neue" w:hAnsi="Helvetica Neue"/>
          <w:noProof/>
          <w:color w:val="000000"/>
          <w:sz w:val="21"/>
          <w:szCs w:val="21"/>
          <w:lang w:val="en-US"/>
        </w:rPr>
        <w:lastRenderedPageBreak/>
        <w:t>Meetings of Directors</w:t>
      </w:r>
    </w:p>
    <w:p w:rsidR="00E579CB" w:rsidRPr="00E579CB" w:rsidRDefault="00E579CB" w:rsidP="00E579CB">
      <w:pPr>
        <w:widowControl w:val="0"/>
        <w:spacing w:line="280" w:lineRule="atLeast"/>
        <w:rPr>
          <w:rFonts w:cs="Arial"/>
          <w:szCs w:val="21"/>
          <w:lang w:val="en-US"/>
        </w:rPr>
      </w:pPr>
      <w:r w:rsidRPr="00E579CB">
        <w:rPr>
          <w:rFonts w:cs="Arial"/>
          <w:szCs w:val="21"/>
          <w:lang w:val="en-US"/>
        </w:rPr>
        <w:t>The number of meetings of the Company’s Board of Directors held during the year ended 30 June 2019 and the numbers of meetings attended by each director were:</w:t>
      </w:r>
    </w:p>
    <w:p w:rsidR="00E579CB" w:rsidRPr="00E579CB" w:rsidRDefault="00E579CB" w:rsidP="00E579CB">
      <w:pPr>
        <w:widowControl w:val="0"/>
        <w:spacing w:after="0" w:line="280" w:lineRule="atLeast"/>
        <w:rPr>
          <w:rFonts w:cs="Arial"/>
          <w:b/>
          <w:szCs w:val="21"/>
          <w:lang w:val="en-US"/>
        </w:rPr>
      </w:pPr>
      <w:proofErr w:type="spellStart"/>
      <w:r w:rsidRPr="00E579CB">
        <w:rPr>
          <w:rFonts w:cs="Arial"/>
          <w:b/>
          <w:bCs/>
          <w:szCs w:val="21"/>
        </w:rPr>
        <w:t>Directo</w:t>
      </w:r>
      <w:proofErr w:type="spellEnd"/>
      <w:r w:rsidRPr="00E579CB">
        <w:rPr>
          <w:rFonts w:cs="Arial"/>
          <w:b/>
          <w:szCs w:val="21"/>
          <w:lang w:val="en-US"/>
        </w:rPr>
        <w:t xml:space="preserve">r </w:t>
      </w:r>
      <w:r w:rsidRPr="00E579CB">
        <w:rPr>
          <w:rFonts w:cs="Arial"/>
          <w:b/>
          <w:szCs w:val="21"/>
          <w:lang w:val="en-US"/>
        </w:rPr>
        <w:tab/>
      </w:r>
      <w:r w:rsidRPr="00E579CB">
        <w:rPr>
          <w:rFonts w:cs="Arial"/>
          <w:b/>
          <w:szCs w:val="21"/>
          <w:lang w:val="en-US"/>
        </w:rPr>
        <w:tab/>
      </w:r>
      <w:r w:rsidRPr="00E579CB">
        <w:rPr>
          <w:rFonts w:cs="Arial"/>
          <w:b/>
          <w:szCs w:val="21"/>
          <w:lang w:val="en-US"/>
        </w:rPr>
        <w:tab/>
      </w:r>
      <w:r w:rsidRPr="00E579CB">
        <w:rPr>
          <w:rFonts w:cs="Arial"/>
          <w:b/>
          <w:szCs w:val="21"/>
          <w:lang w:val="en-US"/>
        </w:rPr>
        <w:tab/>
      </w:r>
      <w:r w:rsidRPr="00E579CB">
        <w:rPr>
          <w:rFonts w:cs="Arial"/>
          <w:b/>
          <w:szCs w:val="21"/>
          <w:lang w:val="en-US"/>
        </w:rPr>
        <w:tab/>
      </w:r>
      <w:r w:rsidRPr="00E579CB">
        <w:rPr>
          <w:rFonts w:cs="Arial"/>
          <w:b/>
          <w:szCs w:val="21"/>
          <w:lang w:val="en-US"/>
        </w:rPr>
        <w:tab/>
      </w:r>
      <w:r w:rsidRPr="00E579CB">
        <w:rPr>
          <w:rFonts w:cs="Arial"/>
          <w:b/>
          <w:szCs w:val="21"/>
          <w:lang w:val="en-US"/>
        </w:rPr>
        <w:tab/>
        <w:t xml:space="preserve">A </w:t>
      </w:r>
      <w:r w:rsidRPr="00E579CB">
        <w:rPr>
          <w:rFonts w:cs="Arial"/>
          <w:b/>
          <w:szCs w:val="21"/>
          <w:lang w:val="en-US"/>
        </w:rPr>
        <w:tab/>
      </w:r>
      <w:r w:rsidRPr="00E579CB">
        <w:rPr>
          <w:rFonts w:cs="Arial"/>
          <w:b/>
          <w:szCs w:val="21"/>
          <w:lang w:val="en-US"/>
        </w:rPr>
        <w:tab/>
        <w:t>B</w:t>
      </w:r>
    </w:p>
    <w:p w:rsidR="00E579CB" w:rsidRPr="00E579CB" w:rsidRDefault="00E579CB" w:rsidP="00E579CB">
      <w:pPr>
        <w:widowControl w:val="0"/>
        <w:spacing w:after="0" w:line="280" w:lineRule="atLeast"/>
        <w:rPr>
          <w:rFonts w:cs="Arial"/>
          <w:szCs w:val="21"/>
          <w:lang w:val="en-US"/>
        </w:rPr>
      </w:pPr>
      <w:r w:rsidRPr="00E579CB">
        <w:rPr>
          <w:rFonts w:cs="Arial"/>
          <w:szCs w:val="21"/>
          <w:lang w:val="en-US"/>
        </w:rPr>
        <w:t xml:space="preserve">Dr. Di Winkler </w:t>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t>5</w:t>
      </w:r>
      <w:r w:rsidRPr="00E579CB">
        <w:rPr>
          <w:rFonts w:cs="Arial"/>
          <w:szCs w:val="21"/>
          <w:lang w:val="en-US"/>
        </w:rPr>
        <w:tab/>
      </w:r>
      <w:r w:rsidRPr="00E579CB">
        <w:rPr>
          <w:rFonts w:cs="Arial"/>
          <w:szCs w:val="21"/>
          <w:lang w:val="en-US"/>
        </w:rPr>
        <w:tab/>
        <w:t>5</w:t>
      </w:r>
    </w:p>
    <w:p w:rsidR="00E579CB" w:rsidRPr="00E579CB" w:rsidRDefault="00E579CB" w:rsidP="00E579CB">
      <w:pPr>
        <w:widowControl w:val="0"/>
        <w:spacing w:after="0" w:line="280" w:lineRule="atLeast"/>
        <w:rPr>
          <w:rFonts w:cs="Arial"/>
          <w:szCs w:val="21"/>
          <w:lang w:val="en-US"/>
        </w:rPr>
      </w:pPr>
      <w:r w:rsidRPr="00E579CB">
        <w:rPr>
          <w:rFonts w:cs="Arial"/>
          <w:szCs w:val="21"/>
          <w:lang w:val="en-US"/>
        </w:rPr>
        <w:t xml:space="preserve">Professor Malcolm Hopwood </w:t>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t xml:space="preserve">5 </w:t>
      </w:r>
      <w:r w:rsidRPr="00E579CB">
        <w:rPr>
          <w:rFonts w:cs="Arial"/>
          <w:szCs w:val="21"/>
          <w:lang w:val="en-US"/>
        </w:rPr>
        <w:tab/>
      </w:r>
      <w:r w:rsidRPr="00E579CB">
        <w:rPr>
          <w:rFonts w:cs="Arial"/>
          <w:szCs w:val="21"/>
          <w:lang w:val="en-US"/>
        </w:rPr>
        <w:tab/>
        <w:t>4</w:t>
      </w:r>
    </w:p>
    <w:p w:rsidR="00E579CB" w:rsidRPr="00E579CB" w:rsidRDefault="00E579CB" w:rsidP="00E579CB">
      <w:pPr>
        <w:widowControl w:val="0"/>
        <w:spacing w:after="0" w:line="280" w:lineRule="atLeast"/>
        <w:rPr>
          <w:rFonts w:cs="Arial"/>
          <w:szCs w:val="21"/>
          <w:lang w:val="en-US"/>
        </w:rPr>
      </w:pPr>
      <w:r w:rsidRPr="00E579CB">
        <w:rPr>
          <w:rFonts w:cs="Arial"/>
          <w:szCs w:val="21"/>
          <w:lang w:val="en-US"/>
        </w:rPr>
        <w:t>Paul Conroy</w:t>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t>5</w:t>
      </w:r>
      <w:r w:rsidRPr="00E579CB">
        <w:rPr>
          <w:rFonts w:cs="Arial"/>
          <w:szCs w:val="21"/>
          <w:lang w:val="en-US"/>
        </w:rPr>
        <w:tab/>
      </w:r>
      <w:r w:rsidRPr="00E579CB">
        <w:rPr>
          <w:rFonts w:cs="Arial"/>
          <w:szCs w:val="21"/>
          <w:lang w:val="en-US"/>
        </w:rPr>
        <w:tab/>
        <w:t>5</w:t>
      </w:r>
    </w:p>
    <w:p w:rsidR="00E579CB" w:rsidRPr="00E579CB" w:rsidRDefault="00E579CB" w:rsidP="00E579CB">
      <w:pPr>
        <w:widowControl w:val="0"/>
        <w:spacing w:after="0" w:line="280" w:lineRule="atLeast"/>
        <w:rPr>
          <w:rFonts w:cs="Arial"/>
          <w:szCs w:val="21"/>
          <w:lang w:val="en-US"/>
        </w:rPr>
      </w:pPr>
      <w:r w:rsidRPr="00E579CB">
        <w:rPr>
          <w:rFonts w:cs="Arial"/>
          <w:szCs w:val="21"/>
          <w:lang w:val="en-US"/>
        </w:rPr>
        <w:t>Benjamin Marks</w:t>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t>5</w:t>
      </w:r>
      <w:r w:rsidRPr="00E579CB">
        <w:rPr>
          <w:rFonts w:cs="Arial"/>
          <w:szCs w:val="21"/>
          <w:lang w:val="en-US"/>
        </w:rPr>
        <w:tab/>
      </w:r>
      <w:r w:rsidRPr="00E579CB">
        <w:rPr>
          <w:rFonts w:cs="Arial"/>
          <w:szCs w:val="21"/>
          <w:lang w:val="en-US"/>
        </w:rPr>
        <w:tab/>
        <w:t>4</w:t>
      </w:r>
    </w:p>
    <w:p w:rsidR="00E579CB" w:rsidRPr="00E579CB" w:rsidRDefault="00E579CB" w:rsidP="00E579CB">
      <w:pPr>
        <w:widowControl w:val="0"/>
        <w:spacing w:after="0" w:line="280" w:lineRule="atLeast"/>
        <w:rPr>
          <w:rFonts w:cs="Arial"/>
          <w:szCs w:val="21"/>
          <w:lang w:val="en-US"/>
        </w:rPr>
      </w:pPr>
      <w:r w:rsidRPr="00E579CB">
        <w:rPr>
          <w:rFonts w:cs="Arial"/>
          <w:szCs w:val="21"/>
          <w:lang w:val="en-US"/>
        </w:rPr>
        <w:t xml:space="preserve">Jason </w:t>
      </w:r>
      <w:proofErr w:type="spellStart"/>
      <w:r w:rsidRPr="00E579CB">
        <w:rPr>
          <w:rFonts w:cs="Arial"/>
          <w:szCs w:val="21"/>
          <w:lang w:val="en-US"/>
        </w:rPr>
        <w:t>Chequer</w:t>
      </w:r>
      <w:proofErr w:type="spellEnd"/>
      <w:r w:rsidRPr="00E579CB">
        <w:rPr>
          <w:rFonts w:cs="Arial"/>
          <w:szCs w:val="21"/>
          <w:lang w:val="en-US"/>
        </w:rPr>
        <w:t xml:space="preserve"> </w:t>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t>5</w:t>
      </w:r>
      <w:r w:rsidRPr="00E579CB">
        <w:rPr>
          <w:rFonts w:cs="Arial"/>
          <w:szCs w:val="21"/>
          <w:lang w:val="en-US"/>
        </w:rPr>
        <w:tab/>
      </w:r>
      <w:r w:rsidRPr="00E579CB">
        <w:rPr>
          <w:rFonts w:cs="Arial"/>
          <w:szCs w:val="21"/>
          <w:lang w:val="en-US"/>
        </w:rPr>
        <w:tab/>
        <w:t>4</w:t>
      </w:r>
    </w:p>
    <w:p w:rsidR="00E579CB" w:rsidRPr="00E579CB" w:rsidRDefault="00E579CB" w:rsidP="00E579CB">
      <w:pPr>
        <w:widowControl w:val="0"/>
        <w:spacing w:after="0" w:line="280" w:lineRule="atLeast"/>
        <w:rPr>
          <w:rFonts w:cs="Arial"/>
          <w:szCs w:val="21"/>
          <w:lang w:val="en-US"/>
        </w:rPr>
      </w:pPr>
      <w:r w:rsidRPr="00E579CB">
        <w:rPr>
          <w:rFonts w:cs="Arial"/>
          <w:szCs w:val="21"/>
          <w:lang w:val="en-US"/>
        </w:rPr>
        <w:t>Prof. Jacinta Douglas</w:t>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t>5</w:t>
      </w:r>
      <w:r w:rsidRPr="00E579CB">
        <w:rPr>
          <w:rFonts w:cs="Arial"/>
          <w:szCs w:val="21"/>
          <w:lang w:val="en-US"/>
        </w:rPr>
        <w:tab/>
      </w:r>
      <w:r w:rsidRPr="00E579CB">
        <w:rPr>
          <w:rFonts w:cs="Arial"/>
          <w:szCs w:val="21"/>
          <w:lang w:val="en-US"/>
        </w:rPr>
        <w:tab/>
        <w:t>3</w:t>
      </w:r>
    </w:p>
    <w:p w:rsidR="00E579CB" w:rsidRPr="00E579CB" w:rsidRDefault="00E579CB" w:rsidP="00E579CB">
      <w:pPr>
        <w:widowControl w:val="0"/>
        <w:spacing w:after="0" w:line="280" w:lineRule="atLeast"/>
        <w:rPr>
          <w:rFonts w:cs="Arial"/>
          <w:szCs w:val="21"/>
          <w:lang w:val="en-US"/>
        </w:rPr>
      </w:pPr>
      <w:r w:rsidRPr="00E579CB">
        <w:rPr>
          <w:rFonts w:cs="Arial"/>
          <w:szCs w:val="21"/>
          <w:lang w:val="en-US"/>
        </w:rPr>
        <w:t>Graeme Innes</w:t>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t>5</w:t>
      </w:r>
      <w:r w:rsidRPr="00E579CB">
        <w:rPr>
          <w:rFonts w:cs="Arial"/>
          <w:szCs w:val="21"/>
          <w:lang w:val="en-US"/>
        </w:rPr>
        <w:tab/>
      </w:r>
      <w:r w:rsidRPr="00E579CB">
        <w:rPr>
          <w:rFonts w:cs="Arial"/>
          <w:szCs w:val="21"/>
          <w:lang w:val="en-US"/>
        </w:rPr>
        <w:tab/>
        <w:t>3</w:t>
      </w:r>
    </w:p>
    <w:p w:rsidR="00E579CB" w:rsidRPr="00E579CB" w:rsidRDefault="00E579CB" w:rsidP="00E579CB">
      <w:pPr>
        <w:widowControl w:val="0"/>
        <w:spacing w:after="0" w:line="280" w:lineRule="atLeast"/>
        <w:rPr>
          <w:rFonts w:cs="Arial"/>
          <w:szCs w:val="21"/>
          <w:lang w:val="en-US"/>
        </w:rPr>
      </w:pPr>
      <w:r w:rsidRPr="00E579CB">
        <w:rPr>
          <w:rFonts w:cs="Arial"/>
          <w:szCs w:val="21"/>
          <w:lang w:val="en-US"/>
        </w:rPr>
        <w:t>Adam Horsburgh</w:t>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t>2</w:t>
      </w:r>
      <w:r w:rsidRPr="00E579CB">
        <w:rPr>
          <w:rFonts w:cs="Arial"/>
          <w:szCs w:val="21"/>
          <w:lang w:val="en-US"/>
        </w:rPr>
        <w:tab/>
      </w:r>
      <w:r w:rsidRPr="00E579CB">
        <w:rPr>
          <w:rFonts w:cs="Arial"/>
          <w:szCs w:val="21"/>
          <w:lang w:val="en-US"/>
        </w:rPr>
        <w:tab/>
        <w:t>1</w:t>
      </w:r>
    </w:p>
    <w:p w:rsidR="00E579CB" w:rsidRPr="00E579CB" w:rsidRDefault="00E579CB" w:rsidP="00E579CB">
      <w:pPr>
        <w:widowControl w:val="0"/>
        <w:spacing w:line="280" w:lineRule="atLeast"/>
        <w:rPr>
          <w:rFonts w:cs="Arial"/>
          <w:szCs w:val="21"/>
          <w:lang w:val="en-US"/>
        </w:rPr>
      </w:pPr>
      <w:r w:rsidRPr="00E579CB">
        <w:rPr>
          <w:rFonts w:cs="Arial"/>
          <w:szCs w:val="21"/>
          <w:lang w:val="en-US"/>
        </w:rPr>
        <w:t>Professor Andrew Way</w:t>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r>
      <w:r w:rsidRPr="00E579CB">
        <w:rPr>
          <w:rFonts w:cs="Arial"/>
          <w:szCs w:val="21"/>
          <w:lang w:val="en-US"/>
        </w:rPr>
        <w:tab/>
        <w:t>2</w:t>
      </w:r>
      <w:r w:rsidRPr="00E579CB">
        <w:rPr>
          <w:rFonts w:cs="Arial"/>
          <w:szCs w:val="21"/>
          <w:lang w:val="en-US"/>
        </w:rPr>
        <w:tab/>
      </w:r>
      <w:r w:rsidRPr="00E579CB">
        <w:rPr>
          <w:rFonts w:cs="Arial"/>
          <w:szCs w:val="21"/>
          <w:lang w:val="en-US"/>
        </w:rPr>
        <w:tab/>
        <w:t>2</w:t>
      </w:r>
    </w:p>
    <w:p w:rsidR="00E579CB" w:rsidRPr="00E579CB" w:rsidRDefault="00E579CB" w:rsidP="00E579CB">
      <w:pPr>
        <w:spacing w:line="360" w:lineRule="auto"/>
        <w:rPr>
          <w:rFonts w:cs="Arial"/>
          <w:szCs w:val="21"/>
        </w:rPr>
      </w:pPr>
      <w:r w:rsidRPr="00E579CB">
        <w:rPr>
          <w:rFonts w:cs="Arial"/>
          <w:szCs w:val="21"/>
          <w:lang w:val="en-US"/>
        </w:rPr>
        <w:t xml:space="preserve">A = Number of meetings eligible to attend </w:t>
      </w:r>
      <w:r w:rsidRPr="00E579CB">
        <w:rPr>
          <w:rFonts w:cs="Arial"/>
          <w:szCs w:val="21"/>
          <w:lang w:val="en-US"/>
        </w:rPr>
        <w:tab/>
        <w:t>B = Number of meetings attended</w:t>
      </w:r>
    </w:p>
    <w:p w:rsidR="00E579CB" w:rsidRPr="00E579CB" w:rsidRDefault="00E579CB" w:rsidP="00E579CB">
      <w:pPr>
        <w:pStyle w:val="Tabletext9pt"/>
        <w:spacing w:after="120" w:line="360" w:lineRule="auto"/>
        <w:rPr>
          <w:rStyle w:val="Tablecharbold9pt"/>
          <w:rFonts w:ascii="Helvetica Neue" w:hAnsi="Helvetica Neue"/>
          <w:color w:val="000000"/>
          <w:sz w:val="21"/>
          <w:szCs w:val="21"/>
        </w:rPr>
      </w:pPr>
      <w:r w:rsidRPr="00E579CB">
        <w:rPr>
          <w:rStyle w:val="Tablecharbold9pt"/>
          <w:rFonts w:ascii="Helvetica Neue" w:hAnsi="Helvetica Neue"/>
          <w:color w:val="000000"/>
          <w:sz w:val="21"/>
          <w:szCs w:val="21"/>
        </w:rPr>
        <w:t>Committees to the Board</w:t>
      </w:r>
    </w:p>
    <w:p w:rsidR="00E579CB" w:rsidRPr="00E579CB" w:rsidRDefault="00E579CB" w:rsidP="00E579CB">
      <w:pPr>
        <w:pStyle w:val="Heading1"/>
        <w:spacing w:before="0" w:line="280" w:lineRule="atLeast"/>
        <w:rPr>
          <w:rStyle w:val="Tablecharbold9pt"/>
          <w:rFonts w:ascii="Helvetica Neue" w:hAnsi="Helvetica Neue"/>
          <w:bCs w:val="0"/>
          <w:noProof/>
          <w:sz w:val="21"/>
          <w:szCs w:val="21"/>
        </w:rPr>
      </w:pPr>
      <w:r w:rsidRPr="00E579CB">
        <w:rPr>
          <w:rStyle w:val="Tablecharbold9pt"/>
          <w:rFonts w:ascii="Helvetica Neue" w:hAnsi="Helvetica Neue"/>
          <w:noProof/>
          <w:sz w:val="21"/>
          <w:szCs w:val="21"/>
        </w:rPr>
        <w:t xml:space="preserve">Finance and Risk Committee </w:t>
      </w:r>
    </w:p>
    <w:p w:rsidR="00E579CB" w:rsidRPr="00E579CB" w:rsidRDefault="00E579CB" w:rsidP="00E579CB">
      <w:pPr>
        <w:widowControl w:val="0"/>
        <w:spacing w:line="280" w:lineRule="atLeast"/>
        <w:rPr>
          <w:rFonts w:cs="Arial"/>
          <w:szCs w:val="21"/>
          <w:lang w:val="en-US"/>
        </w:rPr>
      </w:pPr>
      <w:r w:rsidRPr="00E579CB">
        <w:rPr>
          <w:rFonts w:cs="Arial"/>
          <w:szCs w:val="21"/>
          <w:lang w:val="en-US"/>
        </w:rPr>
        <w:t xml:space="preserve">The main functions of the Committee are to develop and implement a risk management strategy, oversee the </w:t>
      </w:r>
      <w:proofErr w:type="spellStart"/>
      <w:r w:rsidRPr="00E579CB">
        <w:rPr>
          <w:rFonts w:cs="Arial"/>
          <w:szCs w:val="21"/>
          <w:lang w:val="en-US"/>
        </w:rPr>
        <w:t>organisation’s</w:t>
      </w:r>
      <w:proofErr w:type="spellEnd"/>
      <w:r w:rsidRPr="00E579CB">
        <w:rPr>
          <w:rFonts w:cs="Arial"/>
          <w:szCs w:val="21"/>
          <w:lang w:val="en-US"/>
        </w:rPr>
        <w:t xml:space="preserve"> finances, examine proposed budgets, review monthly or quarterly management accounts and consider the expenditure authorities delegated to staff. The Committee also works with external auditors to </w:t>
      </w:r>
      <w:proofErr w:type="spellStart"/>
      <w:r w:rsidRPr="00E579CB">
        <w:rPr>
          <w:rFonts w:cs="Arial"/>
          <w:szCs w:val="21"/>
          <w:lang w:val="en-US"/>
        </w:rPr>
        <w:t>finalise</w:t>
      </w:r>
      <w:proofErr w:type="spellEnd"/>
      <w:r w:rsidRPr="00E579CB">
        <w:rPr>
          <w:rFonts w:cs="Arial"/>
          <w:szCs w:val="21"/>
          <w:lang w:val="en-US"/>
        </w:rPr>
        <w:t xml:space="preserve"> the annual report and conducts periodic reviews of the </w:t>
      </w:r>
      <w:proofErr w:type="spellStart"/>
      <w:r w:rsidRPr="00E579CB">
        <w:rPr>
          <w:rFonts w:cs="Arial"/>
          <w:szCs w:val="21"/>
          <w:lang w:val="en-US"/>
        </w:rPr>
        <w:t>organisation’s</w:t>
      </w:r>
      <w:proofErr w:type="spellEnd"/>
      <w:r w:rsidRPr="00E579CB">
        <w:rPr>
          <w:rFonts w:cs="Arial"/>
          <w:szCs w:val="21"/>
          <w:lang w:val="en-US"/>
        </w:rPr>
        <w:t xml:space="preserve"> financial procedures and legal compliance to ensure proper controls exist to </w:t>
      </w:r>
      <w:proofErr w:type="spellStart"/>
      <w:r w:rsidRPr="00E579CB">
        <w:rPr>
          <w:rFonts w:cs="Arial"/>
          <w:szCs w:val="21"/>
          <w:lang w:val="en-US"/>
        </w:rPr>
        <w:t>minimise</w:t>
      </w:r>
      <w:proofErr w:type="spellEnd"/>
      <w:r w:rsidRPr="00E579CB">
        <w:rPr>
          <w:rFonts w:cs="Arial"/>
          <w:szCs w:val="21"/>
          <w:lang w:val="en-US"/>
        </w:rPr>
        <w:t xml:space="preserve"> risk exposure. </w:t>
      </w:r>
    </w:p>
    <w:p w:rsidR="00E579CB" w:rsidRPr="00E579CB" w:rsidRDefault="00E579CB" w:rsidP="00E579CB">
      <w:pPr>
        <w:widowControl w:val="0"/>
        <w:spacing w:line="280" w:lineRule="atLeast"/>
        <w:rPr>
          <w:rFonts w:cs="Arial"/>
          <w:szCs w:val="21"/>
          <w:lang w:val="en-US"/>
        </w:rPr>
      </w:pPr>
      <w:r w:rsidRPr="00E579CB">
        <w:rPr>
          <w:rFonts w:cs="Arial"/>
          <w:szCs w:val="21"/>
          <w:lang w:val="en-US"/>
        </w:rPr>
        <w:t>The following people form this Committee:</w:t>
      </w:r>
    </w:p>
    <w:p w:rsidR="00E579CB" w:rsidRPr="00E579CB" w:rsidRDefault="00E579CB" w:rsidP="00E579CB">
      <w:pPr>
        <w:widowControl w:val="0"/>
        <w:spacing w:after="0" w:line="280" w:lineRule="atLeast"/>
        <w:rPr>
          <w:rFonts w:cs="Arial"/>
          <w:szCs w:val="21"/>
          <w:lang w:val="en-US"/>
        </w:rPr>
      </w:pPr>
      <w:r w:rsidRPr="00E579CB">
        <w:rPr>
          <w:rFonts w:cs="Arial"/>
          <w:szCs w:val="21"/>
          <w:lang w:val="en-US"/>
        </w:rPr>
        <w:t xml:space="preserve">Luke Bosher </w:t>
      </w:r>
    </w:p>
    <w:p w:rsidR="00E579CB" w:rsidRPr="00E579CB" w:rsidRDefault="00E579CB" w:rsidP="00E579CB">
      <w:pPr>
        <w:widowControl w:val="0"/>
        <w:spacing w:after="0" w:line="280" w:lineRule="atLeast"/>
        <w:rPr>
          <w:rFonts w:cs="Arial"/>
          <w:szCs w:val="21"/>
          <w:lang w:val="en-US"/>
        </w:rPr>
      </w:pPr>
      <w:r w:rsidRPr="00E579CB">
        <w:rPr>
          <w:rFonts w:cs="Arial"/>
          <w:szCs w:val="21"/>
          <w:lang w:val="en-US"/>
        </w:rPr>
        <w:t xml:space="preserve">Jason </w:t>
      </w:r>
      <w:proofErr w:type="spellStart"/>
      <w:r w:rsidRPr="00E579CB">
        <w:rPr>
          <w:rFonts w:cs="Arial"/>
          <w:szCs w:val="21"/>
          <w:lang w:val="en-US"/>
        </w:rPr>
        <w:t>Chequer</w:t>
      </w:r>
      <w:proofErr w:type="spellEnd"/>
      <w:r w:rsidRPr="00E579CB">
        <w:rPr>
          <w:rFonts w:cs="Arial"/>
          <w:szCs w:val="21"/>
          <w:lang w:val="en-US"/>
        </w:rPr>
        <w:t xml:space="preserve"> (Chair)</w:t>
      </w:r>
    </w:p>
    <w:p w:rsidR="00E579CB" w:rsidRPr="00E579CB" w:rsidRDefault="00E579CB" w:rsidP="00E579CB">
      <w:pPr>
        <w:widowControl w:val="0"/>
        <w:spacing w:after="0" w:line="280" w:lineRule="atLeast"/>
        <w:rPr>
          <w:rFonts w:cs="Arial"/>
          <w:szCs w:val="21"/>
          <w:lang w:val="en-US"/>
        </w:rPr>
      </w:pPr>
      <w:r w:rsidRPr="00E579CB">
        <w:rPr>
          <w:rFonts w:cs="Arial"/>
          <w:szCs w:val="21"/>
          <w:lang w:val="en-US"/>
        </w:rPr>
        <w:t>Benjamin Marks</w:t>
      </w:r>
      <w:r w:rsidRPr="00E579CB">
        <w:rPr>
          <w:rFonts w:cs="Arial"/>
          <w:szCs w:val="21"/>
          <w:lang w:val="en-US"/>
        </w:rPr>
        <w:tab/>
      </w:r>
    </w:p>
    <w:p w:rsidR="00E579CB" w:rsidRPr="00E579CB" w:rsidRDefault="00E579CB" w:rsidP="00E579CB">
      <w:pPr>
        <w:spacing w:line="280" w:lineRule="atLeast"/>
        <w:rPr>
          <w:rFonts w:cs="Arial"/>
          <w:szCs w:val="21"/>
        </w:rPr>
      </w:pPr>
      <w:proofErr w:type="spellStart"/>
      <w:r w:rsidRPr="00E579CB">
        <w:rPr>
          <w:rFonts w:cs="Arial"/>
          <w:szCs w:val="21"/>
          <w:lang w:val="en-US"/>
        </w:rPr>
        <w:t>Susane</w:t>
      </w:r>
      <w:proofErr w:type="spellEnd"/>
      <w:r w:rsidRPr="00E579CB">
        <w:rPr>
          <w:rFonts w:cs="Arial"/>
          <w:szCs w:val="21"/>
          <w:lang w:val="en-US"/>
        </w:rPr>
        <w:t xml:space="preserve"> Hammond (Chief Finance &amp; Operations Officer/Company Secretary)</w:t>
      </w:r>
    </w:p>
    <w:p w:rsidR="00E579CB" w:rsidRPr="00E579CB" w:rsidRDefault="00E579CB" w:rsidP="00E579CB">
      <w:pPr>
        <w:pStyle w:val="Tabletext9pt"/>
        <w:spacing w:before="0" w:after="120" w:line="280" w:lineRule="atLeast"/>
        <w:rPr>
          <w:rStyle w:val="Tablecharbold9pt"/>
          <w:rFonts w:ascii="Helvetica Neue" w:hAnsi="Helvetica Neue"/>
          <w:sz w:val="21"/>
          <w:szCs w:val="21"/>
        </w:rPr>
      </w:pPr>
    </w:p>
    <w:p w:rsidR="00E579CB" w:rsidRPr="00E579CB" w:rsidRDefault="00E579CB" w:rsidP="00E579CB">
      <w:pPr>
        <w:pStyle w:val="Tabletext9pt"/>
        <w:spacing w:before="0" w:after="120" w:line="280" w:lineRule="atLeast"/>
        <w:rPr>
          <w:rStyle w:val="Tablecharbold9pt"/>
          <w:rFonts w:ascii="Helvetica Neue" w:hAnsi="Helvetica Neue"/>
          <w:sz w:val="21"/>
          <w:szCs w:val="21"/>
        </w:rPr>
      </w:pPr>
      <w:r w:rsidRPr="00E579CB">
        <w:rPr>
          <w:rStyle w:val="Tablecharbold9pt"/>
          <w:rFonts w:ascii="Helvetica Neue" w:hAnsi="Helvetica Neue"/>
          <w:sz w:val="21"/>
          <w:szCs w:val="21"/>
        </w:rPr>
        <w:t>Auditors’ Independence Declaration</w:t>
      </w:r>
    </w:p>
    <w:p w:rsidR="00E579CB" w:rsidRPr="00E579CB" w:rsidRDefault="00E579CB" w:rsidP="00E579CB">
      <w:pPr>
        <w:pStyle w:val="Tabletext10pt"/>
        <w:spacing w:before="0" w:after="120" w:line="280" w:lineRule="atLeast"/>
        <w:rPr>
          <w:rFonts w:ascii="Helvetica Neue" w:hAnsi="Helvetica Neue"/>
          <w:color w:val="000000"/>
          <w:sz w:val="21"/>
          <w:szCs w:val="21"/>
        </w:rPr>
      </w:pPr>
      <w:r w:rsidRPr="00E579CB">
        <w:rPr>
          <w:rFonts w:ascii="Helvetica Neue" w:hAnsi="Helvetica Neue"/>
          <w:color w:val="000000"/>
          <w:sz w:val="21"/>
          <w:szCs w:val="21"/>
        </w:rPr>
        <w:t xml:space="preserve">A copy of the auditors’ independence declaration as required under s.60-40 of the </w:t>
      </w:r>
      <w:r w:rsidRPr="00E579CB">
        <w:rPr>
          <w:rFonts w:ascii="Helvetica Neue" w:hAnsi="Helvetica Neue"/>
          <w:i/>
          <w:color w:val="000000"/>
          <w:sz w:val="21"/>
          <w:szCs w:val="21"/>
        </w:rPr>
        <w:t xml:space="preserve">Australian Charities and Not-for-profits Commission Act of 2012 </w:t>
      </w:r>
      <w:r w:rsidRPr="00E579CB">
        <w:rPr>
          <w:rFonts w:ascii="Helvetica Neue" w:hAnsi="Helvetica Neue"/>
          <w:color w:val="000000"/>
          <w:sz w:val="21"/>
          <w:szCs w:val="21"/>
        </w:rPr>
        <w:t>is set out on page 9.</w:t>
      </w:r>
    </w:p>
    <w:p w:rsidR="00E579CB" w:rsidRPr="00E579CB" w:rsidRDefault="00E579CB" w:rsidP="00E579CB">
      <w:pPr>
        <w:pStyle w:val="Tabletext9pt"/>
        <w:spacing w:before="0" w:after="120" w:line="280" w:lineRule="atLeast"/>
        <w:rPr>
          <w:rFonts w:ascii="Helvetica Neue" w:hAnsi="Helvetica Neue"/>
          <w:color w:val="000000"/>
          <w:sz w:val="21"/>
          <w:szCs w:val="21"/>
        </w:rPr>
      </w:pPr>
      <w:r w:rsidRPr="00E579CB">
        <w:rPr>
          <w:rFonts w:ascii="Helvetica Neue" w:hAnsi="Helvetica Neue"/>
          <w:color w:val="000000"/>
          <w:sz w:val="21"/>
          <w:szCs w:val="21"/>
        </w:rPr>
        <w:t>Signed in accordance with a resolution of the Board of Directors.</w:t>
      </w:r>
    </w:p>
    <w:p w:rsidR="00E579CB" w:rsidRPr="00E579CB" w:rsidRDefault="00E579CB" w:rsidP="00E579CB">
      <w:pPr>
        <w:pStyle w:val="para"/>
        <w:tabs>
          <w:tab w:val="right" w:pos="8364"/>
        </w:tabs>
        <w:spacing w:before="0" w:after="0" w:line="280" w:lineRule="atLeast"/>
        <w:ind w:right="-62"/>
        <w:rPr>
          <w:rFonts w:ascii="Helvetica Neue" w:hAnsi="Helvetica Neue"/>
          <w:bCs/>
          <w:color w:val="000000"/>
          <w:sz w:val="21"/>
          <w:szCs w:val="21"/>
        </w:rPr>
      </w:pPr>
    </w:p>
    <w:p w:rsidR="00E579CB" w:rsidRDefault="00E579CB" w:rsidP="00E579CB">
      <w:pPr>
        <w:pStyle w:val="para"/>
        <w:tabs>
          <w:tab w:val="right" w:pos="8364"/>
        </w:tabs>
        <w:spacing w:before="0" w:after="0" w:line="280" w:lineRule="atLeast"/>
        <w:ind w:right="-62"/>
        <w:rPr>
          <w:rFonts w:ascii="Helvetica Neue" w:hAnsi="Helvetica Neue"/>
          <w:bCs/>
          <w:color w:val="000000"/>
          <w:sz w:val="21"/>
          <w:szCs w:val="21"/>
        </w:rPr>
      </w:pPr>
    </w:p>
    <w:p w:rsidR="00E579CB" w:rsidRPr="00E579CB" w:rsidRDefault="00E579CB" w:rsidP="00E579CB">
      <w:pPr>
        <w:pStyle w:val="para"/>
        <w:tabs>
          <w:tab w:val="right" w:pos="8364"/>
        </w:tabs>
        <w:spacing w:before="0" w:after="0" w:line="280" w:lineRule="atLeast"/>
        <w:ind w:right="-62"/>
        <w:rPr>
          <w:rFonts w:ascii="Helvetica Neue" w:hAnsi="Helvetica Neue"/>
          <w:bCs/>
          <w:color w:val="000000"/>
          <w:sz w:val="21"/>
          <w:szCs w:val="21"/>
        </w:rPr>
      </w:pPr>
      <w:r w:rsidRPr="00E579CB">
        <w:rPr>
          <w:rFonts w:ascii="Helvetica Neue" w:hAnsi="Helvetica Neue"/>
          <w:bCs/>
          <w:color w:val="000000"/>
          <w:sz w:val="21"/>
          <w:szCs w:val="21"/>
        </w:rPr>
        <w:t>Jason Chequer</w:t>
      </w:r>
      <w:r w:rsidRPr="00E579CB">
        <w:rPr>
          <w:rFonts w:ascii="Helvetica Neue" w:hAnsi="Helvetica Neue"/>
          <w:bCs/>
          <w:color w:val="000000"/>
          <w:sz w:val="21"/>
          <w:szCs w:val="21"/>
        </w:rPr>
        <w:tab/>
      </w:r>
    </w:p>
    <w:p w:rsidR="00E579CB" w:rsidRPr="00E579CB" w:rsidRDefault="00E579CB" w:rsidP="00E579CB">
      <w:pPr>
        <w:pStyle w:val="para"/>
        <w:tabs>
          <w:tab w:val="clear" w:pos="0"/>
          <w:tab w:val="right" w:pos="8364"/>
        </w:tabs>
        <w:spacing w:before="0" w:after="120" w:line="280" w:lineRule="atLeast"/>
        <w:ind w:right="-64"/>
        <w:rPr>
          <w:rFonts w:ascii="Helvetica Neue" w:hAnsi="Helvetica Neue"/>
          <w:bCs/>
          <w:color w:val="000000"/>
          <w:sz w:val="21"/>
          <w:szCs w:val="21"/>
        </w:rPr>
      </w:pPr>
      <w:r w:rsidRPr="00E579CB">
        <w:rPr>
          <w:rFonts w:ascii="Helvetica Neue" w:hAnsi="Helvetica Neue"/>
          <w:bCs/>
          <w:color w:val="000000"/>
          <w:sz w:val="21"/>
          <w:szCs w:val="21"/>
        </w:rPr>
        <w:t>Director</w:t>
      </w:r>
    </w:p>
    <w:p w:rsidR="00E579CB" w:rsidRPr="00E579CB" w:rsidRDefault="00E579CB" w:rsidP="00E579CB">
      <w:pPr>
        <w:pStyle w:val="para"/>
        <w:tabs>
          <w:tab w:val="clear" w:pos="0"/>
          <w:tab w:val="right" w:pos="8364"/>
        </w:tabs>
        <w:spacing w:before="0" w:after="120" w:line="280" w:lineRule="atLeast"/>
        <w:ind w:right="-64"/>
        <w:rPr>
          <w:rFonts w:ascii="Helvetica Neue" w:hAnsi="Helvetica Neue"/>
          <w:color w:val="000000"/>
          <w:sz w:val="21"/>
          <w:szCs w:val="21"/>
        </w:rPr>
      </w:pPr>
      <w:r w:rsidRPr="00E579CB">
        <w:rPr>
          <w:rFonts w:ascii="Helvetica Neue" w:hAnsi="Helvetica Neue"/>
          <w:bCs/>
          <w:color w:val="000000"/>
          <w:sz w:val="21"/>
          <w:szCs w:val="21"/>
        </w:rPr>
        <w:t>Melbourne, 9 October 2019</w:t>
      </w:r>
      <w:r w:rsidRPr="00E579CB">
        <w:rPr>
          <w:rFonts w:ascii="Helvetica Neue" w:hAnsi="Helvetica Neue"/>
          <w:bCs/>
          <w:color w:val="000000"/>
          <w:sz w:val="21"/>
          <w:szCs w:val="21"/>
        </w:rPr>
        <w:tab/>
      </w:r>
    </w:p>
    <w:p w:rsidR="00E579CB" w:rsidRPr="00E579CB" w:rsidRDefault="00E579CB" w:rsidP="00E579CB">
      <w:pPr>
        <w:pStyle w:val="para"/>
        <w:rPr>
          <w:rFonts w:ascii="Helvetica Neue" w:hAnsi="Helvetica Neue"/>
          <w:color w:val="000000"/>
          <w:sz w:val="21"/>
          <w:szCs w:val="21"/>
        </w:rPr>
      </w:pPr>
      <w:r w:rsidRPr="00E579CB">
        <w:rPr>
          <w:rFonts w:ascii="Helvetica Neue" w:hAnsi="Helvetica Neue"/>
          <w:color w:val="000000"/>
          <w:sz w:val="21"/>
          <w:szCs w:val="21"/>
        </w:rPr>
        <w:t xml:space="preserve"> </w:t>
      </w:r>
    </w:p>
    <w:p w:rsidR="00E579CB" w:rsidRPr="00E579CB" w:rsidRDefault="00E579CB" w:rsidP="00E579CB">
      <w:pPr>
        <w:pStyle w:val="Heading1"/>
      </w:pPr>
      <w:r w:rsidRPr="00E579CB">
        <w:br w:type="page"/>
      </w:r>
      <w:r w:rsidRPr="00E579CB">
        <w:lastRenderedPageBreak/>
        <w:t xml:space="preserve">Summer Foundation Limited </w:t>
      </w:r>
    </w:p>
    <w:p w:rsidR="00E579CB" w:rsidRDefault="00E579CB" w:rsidP="00E579CB">
      <w:pPr>
        <w:pStyle w:val="Heading4"/>
      </w:pPr>
      <w:r w:rsidRPr="00E579CB">
        <w:t>ABN 90 117 719 516</w:t>
      </w:r>
    </w:p>
    <w:p w:rsidR="00E579CB" w:rsidRPr="00E579CB" w:rsidRDefault="00E579CB" w:rsidP="00E579CB">
      <w:pPr>
        <w:pStyle w:val="Heading4"/>
      </w:pPr>
      <w:r w:rsidRPr="00E579CB">
        <w:t>Financial Report – 30 June 2019</w:t>
      </w:r>
    </w:p>
    <w:p w:rsidR="00E579CB" w:rsidRPr="00E579CB" w:rsidRDefault="00E579CB" w:rsidP="00E579CB">
      <w:pPr>
        <w:spacing w:line="280" w:lineRule="atLeast"/>
        <w:ind w:right="-331"/>
        <w:rPr>
          <w:rFonts w:cs="Arial"/>
          <w:bCs/>
          <w:szCs w:val="21"/>
        </w:rPr>
      </w:pPr>
    </w:p>
    <w:p w:rsidR="00E579CB" w:rsidRPr="00E579CB" w:rsidRDefault="00E579CB" w:rsidP="00E579CB">
      <w:pPr>
        <w:spacing w:after="0" w:line="280" w:lineRule="atLeast"/>
        <w:ind w:right="-329"/>
        <w:rPr>
          <w:rFonts w:cs="Arial"/>
          <w:bCs/>
          <w:szCs w:val="21"/>
        </w:rPr>
      </w:pPr>
      <w:r w:rsidRPr="00E579CB">
        <w:rPr>
          <w:rFonts w:cs="Arial"/>
          <w:bCs/>
          <w:szCs w:val="21"/>
        </w:rPr>
        <w:t>Statement of Profit or Loss and Other Comprehensive Income</w:t>
      </w:r>
      <w:r w:rsidRPr="00E579CB">
        <w:rPr>
          <w:rFonts w:cs="Arial"/>
          <w:bCs/>
          <w:szCs w:val="21"/>
        </w:rPr>
        <w:tab/>
      </w:r>
      <w:r w:rsidRPr="00E579CB">
        <w:rPr>
          <w:rFonts w:cs="Arial"/>
          <w:bCs/>
          <w:szCs w:val="21"/>
        </w:rPr>
        <w:tab/>
      </w:r>
      <w:r w:rsidRPr="00E579CB">
        <w:rPr>
          <w:rFonts w:cs="Arial"/>
          <w:bCs/>
          <w:szCs w:val="21"/>
        </w:rPr>
        <w:tab/>
        <w:t>11</w:t>
      </w:r>
    </w:p>
    <w:p w:rsidR="00E579CB" w:rsidRPr="00E579CB" w:rsidRDefault="00E579CB" w:rsidP="00E579CB">
      <w:pPr>
        <w:spacing w:after="0" w:line="280" w:lineRule="atLeast"/>
        <w:ind w:right="-329"/>
        <w:rPr>
          <w:rFonts w:cs="Arial"/>
          <w:bCs/>
          <w:szCs w:val="21"/>
        </w:rPr>
      </w:pPr>
      <w:r w:rsidRPr="00E579CB">
        <w:rPr>
          <w:rFonts w:cs="Arial"/>
          <w:bCs/>
          <w:szCs w:val="21"/>
        </w:rPr>
        <w:t>Statement of Financial Position</w:t>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t>12</w:t>
      </w:r>
    </w:p>
    <w:p w:rsidR="00E579CB" w:rsidRPr="00E579CB" w:rsidRDefault="00E579CB" w:rsidP="00E579CB">
      <w:pPr>
        <w:spacing w:after="0" w:line="280" w:lineRule="atLeast"/>
        <w:ind w:right="-329"/>
        <w:rPr>
          <w:rFonts w:cs="Arial"/>
          <w:bCs/>
          <w:szCs w:val="21"/>
        </w:rPr>
      </w:pPr>
      <w:r w:rsidRPr="00E579CB">
        <w:rPr>
          <w:rFonts w:cs="Arial"/>
          <w:bCs/>
          <w:szCs w:val="21"/>
        </w:rPr>
        <w:t>Statement of Changes in Equity</w:t>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t>13</w:t>
      </w:r>
    </w:p>
    <w:p w:rsidR="00E579CB" w:rsidRPr="00E579CB" w:rsidRDefault="00E579CB" w:rsidP="00E579CB">
      <w:pPr>
        <w:spacing w:after="0" w:line="280" w:lineRule="atLeast"/>
        <w:ind w:right="-329"/>
        <w:rPr>
          <w:rFonts w:cs="Arial"/>
          <w:bCs/>
          <w:szCs w:val="21"/>
        </w:rPr>
      </w:pPr>
      <w:r w:rsidRPr="00E579CB">
        <w:rPr>
          <w:rFonts w:cs="Arial"/>
          <w:bCs/>
          <w:szCs w:val="21"/>
        </w:rPr>
        <w:t>Statement of Cash Flows</w:t>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t>14</w:t>
      </w:r>
    </w:p>
    <w:p w:rsidR="00E579CB" w:rsidRPr="00E579CB" w:rsidRDefault="00E579CB" w:rsidP="00E579CB">
      <w:pPr>
        <w:spacing w:after="0" w:line="280" w:lineRule="atLeast"/>
        <w:ind w:right="-329"/>
        <w:rPr>
          <w:rFonts w:cs="Arial"/>
          <w:bCs/>
          <w:szCs w:val="21"/>
        </w:rPr>
      </w:pPr>
      <w:r w:rsidRPr="00E579CB">
        <w:rPr>
          <w:rFonts w:cs="Arial"/>
          <w:bCs/>
          <w:szCs w:val="21"/>
        </w:rPr>
        <w:t>Notes to the Financial Statements</w:t>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t>15</w:t>
      </w:r>
    </w:p>
    <w:p w:rsidR="00E579CB" w:rsidRPr="00E579CB" w:rsidRDefault="00E579CB" w:rsidP="00E579CB">
      <w:pPr>
        <w:spacing w:after="0" w:line="280" w:lineRule="atLeast"/>
        <w:ind w:right="-329"/>
        <w:rPr>
          <w:rFonts w:cs="Arial"/>
          <w:bCs/>
          <w:szCs w:val="21"/>
        </w:rPr>
      </w:pPr>
      <w:r w:rsidRPr="00E579CB">
        <w:rPr>
          <w:rFonts w:cs="Arial"/>
          <w:bCs/>
          <w:szCs w:val="21"/>
        </w:rPr>
        <w:t>Directors’ Declaration</w:t>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t>25</w:t>
      </w:r>
    </w:p>
    <w:p w:rsidR="00E579CB" w:rsidRPr="00E579CB" w:rsidRDefault="00E579CB" w:rsidP="00E579CB">
      <w:pPr>
        <w:spacing w:line="280" w:lineRule="atLeast"/>
        <w:ind w:right="-331"/>
        <w:rPr>
          <w:rFonts w:cs="Arial"/>
          <w:bCs/>
          <w:szCs w:val="21"/>
        </w:rPr>
      </w:pPr>
      <w:r w:rsidRPr="00E579CB">
        <w:rPr>
          <w:rFonts w:cs="Arial"/>
          <w:bCs/>
          <w:szCs w:val="21"/>
        </w:rPr>
        <w:t>Independent Audit Report to the Members</w:t>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r>
      <w:r w:rsidRPr="00E579CB">
        <w:rPr>
          <w:rFonts w:cs="Arial"/>
          <w:bCs/>
          <w:szCs w:val="21"/>
        </w:rPr>
        <w:tab/>
        <w:t>26</w:t>
      </w:r>
      <w:r w:rsidRPr="00E579CB">
        <w:rPr>
          <w:rFonts w:cs="Arial"/>
          <w:bCs/>
          <w:szCs w:val="21"/>
        </w:rPr>
        <w:tab/>
      </w:r>
    </w:p>
    <w:p w:rsidR="00E579CB" w:rsidRPr="00E579CB" w:rsidRDefault="00E579CB" w:rsidP="00E579CB">
      <w:pPr>
        <w:pStyle w:val="para"/>
        <w:spacing w:before="0" w:after="120" w:line="280" w:lineRule="atLeast"/>
        <w:rPr>
          <w:rFonts w:ascii="Helvetica Neue" w:hAnsi="Helvetica Neue"/>
          <w:color w:val="000000"/>
          <w:sz w:val="21"/>
          <w:szCs w:val="21"/>
        </w:rPr>
      </w:pPr>
    </w:p>
    <w:p w:rsidR="00E579CB" w:rsidRPr="00E579CB" w:rsidRDefault="00E579CB" w:rsidP="00E579CB">
      <w:pPr>
        <w:pStyle w:val="para"/>
        <w:spacing w:before="0" w:after="120" w:line="280" w:lineRule="atLeast"/>
        <w:rPr>
          <w:rFonts w:ascii="Helvetica Neue" w:hAnsi="Helvetica Neue"/>
          <w:color w:val="000000"/>
          <w:sz w:val="21"/>
          <w:szCs w:val="21"/>
        </w:rPr>
      </w:pPr>
    </w:p>
    <w:p w:rsidR="00E579CB" w:rsidRPr="00E579CB" w:rsidRDefault="00E579CB" w:rsidP="00E579CB">
      <w:pPr>
        <w:pStyle w:val="para"/>
        <w:spacing w:before="0" w:after="120" w:line="280" w:lineRule="atLeast"/>
        <w:rPr>
          <w:rFonts w:ascii="Helvetica Neue" w:hAnsi="Helvetica Neue"/>
          <w:color w:val="000000"/>
          <w:sz w:val="21"/>
          <w:szCs w:val="21"/>
        </w:rPr>
      </w:pPr>
      <w:r w:rsidRPr="00E579CB">
        <w:rPr>
          <w:rFonts w:ascii="Helvetica Neue" w:hAnsi="Helvetica Neue"/>
          <w:color w:val="000000"/>
          <w:sz w:val="21"/>
          <w:szCs w:val="21"/>
        </w:rPr>
        <w:t xml:space="preserve">This financial report covers Summer Foundation Limited as an individual entity.  The financial report is presented in Australian dollars, which is Summer Foundation Limited’s functional and presentational currency. </w:t>
      </w:r>
    </w:p>
    <w:p w:rsidR="00E579CB" w:rsidRPr="00E579CB" w:rsidRDefault="00E579CB" w:rsidP="00E579CB">
      <w:pPr>
        <w:pStyle w:val="para"/>
        <w:spacing w:before="0" w:after="0" w:line="280" w:lineRule="atLeast"/>
        <w:rPr>
          <w:rFonts w:ascii="Helvetica Neue" w:hAnsi="Helvetica Neue"/>
          <w:color w:val="000000"/>
          <w:sz w:val="21"/>
          <w:szCs w:val="21"/>
        </w:rPr>
      </w:pPr>
      <w:r w:rsidRPr="00E579CB">
        <w:rPr>
          <w:rFonts w:ascii="Helvetica Neue" w:hAnsi="Helvetica Neue"/>
          <w:color w:val="000000"/>
          <w:sz w:val="21"/>
          <w:szCs w:val="21"/>
        </w:rPr>
        <w:t>Summer Foundation Limited is a company limited by guarantee, incorporated and domiciled in Australia.  Its registered office is:</w:t>
      </w:r>
    </w:p>
    <w:p w:rsidR="00E579CB" w:rsidRPr="00E579CB" w:rsidRDefault="00E579CB" w:rsidP="00E579CB">
      <w:pPr>
        <w:pStyle w:val="para"/>
        <w:spacing w:before="0" w:after="0" w:line="280" w:lineRule="atLeast"/>
        <w:rPr>
          <w:rFonts w:ascii="Helvetica Neue" w:hAnsi="Helvetica Neue"/>
          <w:color w:val="000000"/>
          <w:sz w:val="21"/>
          <w:szCs w:val="21"/>
        </w:rPr>
      </w:pPr>
    </w:p>
    <w:p w:rsidR="00E579CB" w:rsidRPr="00E579CB" w:rsidRDefault="00E579CB" w:rsidP="00E579CB">
      <w:pPr>
        <w:pStyle w:val="para"/>
        <w:spacing w:before="0" w:after="0" w:line="280" w:lineRule="atLeast"/>
        <w:rPr>
          <w:rFonts w:ascii="Helvetica Neue" w:hAnsi="Helvetica Neue"/>
          <w:color w:val="000000"/>
          <w:sz w:val="21"/>
          <w:szCs w:val="21"/>
        </w:rPr>
      </w:pPr>
      <w:r w:rsidRPr="00E579CB">
        <w:rPr>
          <w:rFonts w:ascii="Helvetica Neue" w:hAnsi="Helvetica Neue"/>
          <w:color w:val="000000"/>
          <w:sz w:val="21"/>
          <w:szCs w:val="21"/>
        </w:rPr>
        <w:t xml:space="preserve">c/o Saward Dawson Chartered Accountants </w:t>
      </w:r>
    </w:p>
    <w:p w:rsidR="00E579CB" w:rsidRPr="00E579CB" w:rsidRDefault="00E579CB" w:rsidP="00E579CB">
      <w:pPr>
        <w:pStyle w:val="para"/>
        <w:spacing w:before="0" w:after="0" w:line="280" w:lineRule="atLeast"/>
        <w:rPr>
          <w:rFonts w:ascii="Helvetica Neue" w:hAnsi="Helvetica Neue"/>
          <w:color w:val="000000"/>
          <w:sz w:val="21"/>
          <w:szCs w:val="21"/>
        </w:rPr>
      </w:pPr>
      <w:r w:rsidRPr="00E579CB">
        <w:rPr>
          <w:rFonts w:ascii="Helvetica Neue" w:hAnsi="Helvetica Neue"/>
          <w:color w:val="000000"/>
          <w:sz w:val="21"/>
          <w:szCs w:val="21"/>
        </w:rPr>
        <w:t>20 Albert Street</w:t>
      </w:r>
    </w:p>
    <w:p w:rsidR="00E579CB" w:rsidRPr="00E579CB" w:rsidRDefault="00E579CB" w:rsidP="00E579CB">
      <w:pPr>
        <w:pStyle w:val="para"/>
        <w:spacing w:before="0" w:after="120" w:line="280" w:lineRule="atLeast"/>
        <w:rPr>
          <w:rFonts w:ascii="Helvetica Neue" w:hAnsi="Helvetica Neue"/>
          <w:color w:val="000000"/>
          <w:sz w:val="21"/>
          <w:szCs w:val="21"/>
        </w:rPr>
      </w:pPr>
      <w:r w:rsidRPr="00E579CB">
        <w:rPr>
          <w:rFonts w:ascii="Helvetica Neue" w:hAnsi="Helvetica Neue"/>
          <w:color w:val="000000"/>
          <w:sz w:val="21"/>
          <w:szCs w:val="21"/>
        </w:rPr>
        <w:t>Blackburn VIC 3130</w:t>
      </w:r>
    </w:p>
    <w:p w:rsidR="00E579CB" w:rsidRPr="00E579CB" w:rsidRDefault="00E579CB" w:rsidP="00E579CB">
      <w:pPr>
        <w:pStyle w:val="para"/>
        <w:spacing w:before="0" w:after="120" w:line="280" w:lineRule="atLeast"/>
        <w:rPr>
          <w:rFonts w:ascii="Helvetica Neue" w:hAnsi="Helvetica Neue"/>
          <w:color w:val="000000"/>
          <w:sz w:val="21"/>
          <w:szCs w:val="21"/>
        </w:rPr>
      </w:pPr>
    </w:p>
    <w:p w:rsidR="00E579CB" w:rsidRPr="00E579CB" w:rsidRDefault="00E579CB" w:rsidP="00E579CB">
      <w:pPr>
        <w:pStyle w:val="para"/>
        <w:spacing w:before="0" w:after="0" w:line="280" w:lineRule="atLeast"/>
        <w:rPr>
          <w:rFonts w:ascii="Helvetica Neue" w:hAnsi="Helvetica Neue"/>
          <w:color w:val="000000"/>
          <w:sz w:val="21"/>
          <w:szCs w:val="21"/>
        </w:rPr>
      </w:pPr>
      <w:r w:rsidRPr="00E579CB">
        <w:rPr>
          <w:rFonts w:ascii="Helvetica Neue" w:hAnsi="Helvetica Neue"/>
          <w:color w:val="000000"/>
          <w:sz w:val="21"/>
          <w:szCs w:val="21"/>
        </w:rPr>
        <w:t>Principal place of business is:</w:t>
      </w:r>
    </w:p>
    <w:p w:rsidR="00E579CB" w:rsidRPr="00E579CB" w:rsidRDefault="00E579CB" w:rsidP="00E579CB">
      <w:pPr>
        <w:pStyle w:val="para"/>
        <w:spacing w:before="0" w:after="0" w:line="280" w:lineRule="atLeast"/>
        <w:rPr>
          <w:rFonts w:ascii="Helvetica Neue" w:hAnsi="Helvetica Neue"/>
          <w:color w:val="000000"/>
          <w:sz w:val="21"/>
          <w:szCs w:val="21"/>
        </w:rPr>
      </w:pPr>
      <w:r w:rsidRPr="00E579CB">
        <w:rPr>
          <w:rFonts w:ascii="Helvetica Neue" w:hAnsi="Helvetica Neue"/>
          <w:color w:val="000000"/>
          <w:sz w:val="21"/>
          <w:szCs w:val="21"/>
        </w:rPr>
        <w:t>Summer Foundation Limited</w:t>
      </w:r>
    </w:p>
    <w:p w:rsidR="00E579CB" w:rsidRPr="00E579CB" w:rsidRDefault="00E579CB" w:rsidP="00E579CB">
      <w:pPr>
        <w:pStyle w:val="para"/>
        <w:spacing w:before="0" w:after="0" w:line="280" w:lineRule="atLeast"/>
        <w:rPr>
          <w:rFonts w:ascii="Helvetica Neue" w:hAnsi="Helvetica Neue"/>
          <w:color w:val="000000"/>
          <w:sz w:val="21"/>
          <w:szCs w:val="21"/>
        </w:rPr>
      </w:pPr>
      <w:r w:rsidRPr="00E579CB">
        <w:rPr>
          <w:rFonts w:ascii="Helvetica Neue" w:hAnsi="Helvetica Neue"/>
          <w:color w:val="000000"/>
          <w:sz w:val="21"/>
          <w:szCs w:val="21"/>
        </w:rPr>
        <w:t>Level 3, 991 Whitehorse Road</w:t>
      </w:r>
    </w:p>
    <w:p w:rsidR="00E579CB" w:rsidRPr="00E579CB" w:rsidRDefault="00E579CB" w:rsidP="00E579CB">
      <w:pPr>
        <w:pStyle w:val="para"/>
        <w:spacing w:before="0" w:after="120" w:line="280" w:lineRule="atLeast"/>
        <w:rPr>
          <w:rFonts w:ascii="Helvetica Neue" w:hAnsi="Helvetica Neue"/>
          <w:color w:val="000000"/>
          <w:sz w:val="21"/>
          <w:szCs w:val="21"/>
        </w:rPr>
      </w:pPr>
      <w:r w:rsidRPr="00E579CB">
        <w:rPr>
          <w:rFonts w:ascii="Helvetica Neue" w:hAnsi="Helvetica Neue"/>
          <w:color w:val="000000"/>
          <w:sz w:val="21"/>
          <w:szCs w:val="21"/>
        </w:rPr>
        <w:t>Box Hill VIC 3128</w:t>
      </w:r>
    </w:p>
    <w:p w:rsidR="00E579CB" w:rsidRPr="00E579CB" w:rsidRDefault="00E579CB" w:rsidP="00E579CB">
      <w:pPr>
        <w:pStyle w:val="para"/>
        <w:spacing w:before="0" w:after="120" w:line="280" w:lineRule="atLeast"/>
        <w:rPr>
          <w:rFonts w:ascii="Helvetica Neue" w:hAnsi="Helvetica Neue"/>
          <w:color w:val="000000"/>
          <w:sz w:val="21"/>
          <w:szCs w:val="21"/>
        </w:rPr>
      </w:pPr>
    </w:p>
    <w:p w:rsidR="00E579CB" w:rsidRPr="00E579CB" w:rsidRDefault="00E579CB" w:rsidP="00E579CB">
      <w:pPr>
        <w:pStyle w:val="para"/>
        <w:spacing w:before="0" w:after="120" w:line="280" w:lineRule="atLeast"/>
        <w:rPr>
          <w:rFonts w:ascii="Helvetica Neue" w:hAnsi="Helvetica Neue"/>
          <w:color w:val="000000"/>
          <w:sz w:val="21"/>
          <w:szCs w:val="21"/>
        </w:rPr>
      </w:pPr>
      <w:r w:rsidRPr="00E579CB">
        <w:rPr>
          <w:rFonts w:ascii="Helvetica Neue" w:hAnsi="Helvetica Neue"/>
          <w:color w:val="000000"/>
          <w:sz w:val="21"/>
          <w:szCs w:val="21"/>
        </w:rPr>
        <w:t xml:space="preserve">A description of the nature of the company’s operations and its principal activities is included in the Directors’ </w:t>
      </w:r>
      <w:r w:rsidRPr="00E579CB">
        <w:rPr>
          <w:rFonts w:ascii="Helvetica Neue" w:hAnsi="Helvetica Neue"/>
          <w:sz w:val="21"/>
          <w:szCs w:val="21"/>
        </w:rPr>
        <w:t>Report on page 2,</w:t>
      </w:r>
      <w:r w:rsidRPr="00E579CB">
        <w:rPr>
          <w:rFonts w:ascii="Helvetica Neue" w:hAnsi="Helvetica Neue"/>
          <w:color w:val="000000"/>
          <w:sz w:val="21"/>
          <w:szCs w:val="21"/>
        </w:rPr>
        <w:t xml:space="preserve"> which is not part of these financial statements.</w:t>
      </w:r>
    </w:p>
    <w:p w:rsidR="00E579CB" w:rsidRPr="00E579CB" w:rsidRDefault="00E579CB" w:rsidP="00E579CB">
      <w:pPr>
        <w:pStyle w:val="para"/>
        <w:spacing w:before="0" w:after="120" w:line="280" w:lineRule="atLeast"/>
        <w:rPr>
          <w:rFonts w:ascii="Helvetica Neue" w:hAnsi="Helvetica Neue"/>
          <w:color w:val="000000"/>
          <w:sz w:val="21"/>
          <w:szCs w:val="21"/>
        </w:rPr>
      </w:pPr>
      <w:r w:rsidRPr="00E579CB">
        <w:rPr>
          <w:rFonts w:ascii="Helvetica Neue" w:hAnsi="Helvetica Neue"/>
          <w:color w:val="000000"/>
          <w:sz w:val="21"/>
          <w:szCs w:val="21"/>
        </w:rPr>
        <w:t xml:space="preserve">The financial statements were authorised for issue by the directors on 9 October 2019.  </w:t>
      </w:r>
    </w:p>
    <w:p w:rsidR="00E579CB" w:rsidRPr="00E579CB" w:rsidRDefault="00E579CB" w:rsidP="00E579CB">
      <w:pPr>
        <w:rPr>
          <w:rFonts w:cs="Arial"/>
          <w:szCs w:val="21"/>
        </w:rPr>
      </w:pPr>
      <w:r w:rsidRPr="00E579CB">
        <w:rPr>
          <w:rFonts w:cs="Arial"/>
          <w:szCs w:val="21"/>
        </w:rPr>
        <w:br w:type="page"/>
      </w:r>
    </w:p>
    <w:tbl>
      <w:tblPr>
        <w:tblW w:w="9214" w:type="dxa"/>
        <w:tblInd w:w="108" w:type="dxa"/>
        <w:tblBorders>
          <w:top w:val="single" w:sz="4" w:space="0" w:color="auto"/>
          <w:bottom w:val="single" w:sz="4" w:space="0" w:color="auto"/>
        </w:tblBorders>
        <w:tblLook w:val="0000" w:firstRow="0" w:lastRow="0" w:firstColumn="0" w:lastColumn="0" w:noHBand="0" w:noVBand="0"/>
      </w:tblPr>
      <w:tblGrid>
        <w:gridCol w:w="4678"/>
        <w:gridCol w:w="1121"/>
        <w:gridCol w:w="1356"/>
        <w:gridCol w:w="236"/>
        <w:gridCol w:w="1342"/>
        <w:gridCol w:w="481"/>
      </w:tblGrid>
      <w:tr w:rsidR="00E579CB" w:rsidRPr="00E579CB" w:rsidTr="00E579CB">
        <w:trPr>
          <w:trHeight w:val="765"/>
        </w:trPr>
        <w:tc>
          <w:tcPr>
            <w:tcW w:w="9214" w:type="dxa"/>
            <w:gridSpan w:val="6"/>
            <w:tcBorders>
              <w:top w:val="nil"/>
            </w:tcBorders>
            <w:shd w:val="clear" w:color="auto" w:fill="auto"/>
            <w:vAlign w:val="bottom"/>
          </w:tcPr>
          <w:p w:rsidR="00E579CB" w:rsidRPr="00E579CB" w:rsidRDefault="00E579CB" w:rsidP="00E579CB">
            <w:pPr>
              <w:spacing w:after="0"/>
              <w:rPr>
                <w:rFonts w:cs="Arial"/>
                <w:b/>
                <w:bCs/>
                <w:szCs w:val="21"/>
                <w:lang w:val="en-US"/>
              </w:rPr>
            </w:pPr>
            <w:r w:rsidRPr="00E579CB">
              <w:rPr>
                <w:rFonts w:cs="Arial"/>
                <w:szCs w:val="21"/>
              </w:rPr>
              <w:lastRenderedPageBreak/>
              <w:br w:type="page"/>
            </w:r>
            <w:r w:rsidRPr="00E579CB">
              <w:rPr>
                <w:rFonts w:cs="Arial"/>
                <w:color w:val="000000"/>
                <w:szCs w:val="21"/>
              </w:rPr>
              <w:br w:type="page"/>
            </w:r>
            <w:bookmarkStart w:id="9" w:name="OLE_LINK8"/>
            <w:bookmarkStart w:id="10" w:name="OLE_LINK9"/>
            <w:r w:rsidRPr="00E579CB">
              <w:rPr>
                <w:rFonts w:cs="Arial"/>
                <w:b/>
                <w:bCs/>
                <w:szCs w:val="21"/>
                <w:lang w:val="en-US"/>
              </w:rPr>
              <w:t>Statement of Profit or Loss and Other Comprehensive Income</w:t>
            </w:r>
          </w:p>
          <w:p w:rsidR="00E579CB" w:rsidRPr="00E579CB" w:rsidRDefault="00E579CB" w:rsidP="00E579CB">
            <w:pPr>
              <w:spacing w:after="0"/>
              <w:rPr>
                <w:rFonts w:cs="Arial"/>
                <w:b/>
                <w:bCs/>
                <w:szCs w:val="21"/>
                <w:lang w:val="en-US"/>
              </w:rPr>
            </w:pPr>
            <w:r w:rsidRPr="00E579CB">
              <w:rPr>
                <w:rFonts w:cs="Arial"/>
                <w:b/>
                <w:bCs/>
                <w:szCs w:val="21"/>
                <w:lang w:val="en-US"/>
              </w:rPr>
              <w:t>For the year ended 30 June 2019</w:t>
            </w:r>
          </w:p>
        </w:tc>
      </w:tr>
      <w:tr w:rsidR="00E579CB" w:rsidRPr="00E579CB" w:rsidTr="00E579CB">
        <w:trPr>
          <w:gridAfter w:val="1"/>
          <w:wAfter w:w="481" w:type="dxa"/>
          <w:trHeight w:val="255"/>
        </w:trPr>
        <w:tc>
          <w:tcPr>
            <w:tcW w:w="4678" w:type="dxa"/>
            <w:shd w:val="clear" w:color="auto" w:fill="auto"/>
            <w:vAlign w:val="bottom"/>
          </w:tcPr>
          <w:p w:rsidR="00E579CB" w:rsidRPr="00E579CB" w:rsidRDefault="00E579CB" w:rsidP="00E579CB">
            <w:pPr>
              <w:spacing w:after="0"/>
              <w:rPr>
                <w:rFonts w:cs="Arial"/>
                <w:szCs w:val="21"/>
                <w:lang w:val="en-US"/>
              </w:rPr>
            </w:pPr>
          </w:p>
        </w:tc>
        <w:tc>
          <w:tcPr>
            <w:tcW w:w="1121" w:type="dxa"/>
            <w:shd w:val="clear" w:color="auto" w:fill="auto"/>
            <w:noWrap/>
            <w:vAlign w:val="bottom"/>
          </w:tcPr>
          <w:p w:rsidR="00E579CB" w:rsidRPr="00E579CB" w:rsidRDefault="00E579CB" w:rsidP="00E579CB">
            <w:pPr>
              <w:spacing w:after="0"/>
              <w:jc w:val="center"/>
              <w:rPr>
                <w:rFonts w:cs="Arial"/>
                <w:szCs w:val="21"/>
                <w:lang w:val="en-US"/>
              </w:rPr>
            </w:pPr>
          </w:p>
        </w:tc>
        <w:tc>
          <w:tcPr>
            <w:tcW w:w="1356" w:type="dxa"/>
            <w:shd w:val="clear" w:color="auto" w:fill="auto"/>
            <w:noWrap/>
            <w:vAlign w:val="bottom"/>
          </w:tcPr>
          <w:p w:rsidR="00E579CB" w:rsidRPr="00E579CB" w:rsidRDefault="00E579CB" w:rsidP="00E579CB">
            <w:pPr>
              <w:spacing w:after="0"/>
              <w:rPr>
                <w:rFonts w:cs="Arial"/>
                <w:szCs w:val="21"/>
                <w:lang w:val="en-US"/>
              </w:rPr>
            </w:pPr>
          </w:p>
        </w:tc>
        <w:tc>
          <w:tcPr>
            <w:tcW w:w="236" w:type="dxa"/>
            <w:shd w:val="clear" w:color="auto" w:fill="auto"/>
            <w:noWrap/>
            <w:vAlign w:val="bottom"/>
          </w:tcPr>
          <w:p w:rsidR="00E579CB" w:rsidRPr="00E579CB" w:rsidRDefault="00E579CB" w:rsidP="00E579CB">
            <w:pPr>
              <w:spacing w:after="0"/>
              <w:rPr>
                <w:rFonts w:cs="Arial"/>
                <w:szCs w:val="21"/>
                <w:lang w:val="en-US"/>
              </w:rPr>
            </w:pPr>
          </w:p>
        </w:tc>
        <w:tc>
          <w:tcPr>
            <w:tcW w:w="1342" w:type="dxa"/>
            <w:shd w:val="clear" w:color="auto" w:fill="auto"/>
            <w:noWrap/>
            <w:vAlign w:val="bottom"/>
          </w:tcPr>
          <w:p w:rsidR="00E579CB" w:rsidRPr="00E579CB" w:rsidRDefault="00E579CB" w:rsidP="00E579CB">
            <w:pPr>
              <w:spacing w:after="0"/>
              <w:jc w:val="center"/>
              <w:rPr>
                <w:rFonts w:cs="Arial"/>
                <w:szCs w:val="21"/>
                <w:lang w:val="en-US"/>
              </w:rPr>
            </w:pPr>
          </w:p>
        </w:tc>
      </w:tr>
      <w:tr w:rsidR="00E579CB" w:rsidRPr="00E579CB" w:rsidTr="00E579CB">
        <w:trPr>
          <w:gridAfter w:val="1"/>
          <w:wAfter w:w="481" w:type="dxa"/>
          <w:trHeight w:val="255"/>
        </w:trPr>
        <w:tc>
          <w:tcPr>
            <w:tcW w:w="4678" w:type="dxa"/>
            <w:shd w:val="clear" w:color="auto" w:fill="auto"/>
            <w:vAlign w:val="bottom"/>
          </w:tcPr>
          <w:p w:rsidR="00E579CB" w:rsidRPr="00E579CB" w:rsidRDefault="00E579CB" w:rsidP="00E579CB">
            <w:pPr>
              <w:spacing w:after="0"/>
              <w:rPr>
                <w:rFonts w:cs="Arial"/>
                <w:szCs w:val="21"/>
                <w:lang w:val="en-US"/>
              </w:rPr>
            </w:pPr>
          </w:p>
        </w:tc>
        <w:tc>
          <w:tcPr>
            <w:tcW w:w="1121" w:type="dxa"/>
            <w:shd w:val="clear" w:color="auto" w:fill="auto"/>
            <w:noWrap/>
            <w:vAlign w:val="bottom"/>
          </w:tcPr>
          <w:p w:rsidR="00E579CB" w:rsidRPr="00E579CB" w:rsidRDefault="00E579CB" w:rsidP="00E579CB">
            <w:pPr>
              <w:spacing w:after="0"/>
              <w:jc w:val="center"/>
              <w:rPr>
                <w:rFonts w:cs="Arial"/>
                <w:szCs w:val="21"/>
                <w:lang w:val="en-US"/>
              </w:rPr>
            </w:pPr>
            <w:r w:rsidRPr="00E579CB">
              <w:rPr>
                <w:rFonts w:cs="Arial"/>
                <w:b/>
                <w:bCs/>
                <w:color w:val="000000"/>
                <w:position w:val="-6"/>
                <w:szCs w:val="21"/>
                <w:lang w:val="en-US"/>
              </w:rPr>
              <w:t>Notes</w:t>
            </w:r>
          </w:p>
        </w:tc>
        <w:tc>
          <w:tcPr>
            <w:tcW w:w="1356" w:type="dxa"/>
            <w:shd w:val="clear" w:color="auto" w:fill="auto"/>
            <w:noWrap/>
            <w:vAlign w:val="bottom"/>
          </w:tcPr>
          <w:p w:rsidR="00E579CB" w:rsidRPr="00E579CB" w:rsidRDefault="00E579CB" w:rsidP="00E579CB">
            <w:pPr>
              <w:spacing w:after="0"/>
              <w:jc w:val="center"/>
              <w:rPr>
                <w:rFonts w:cs="Arial"/>
                <w:b/>
                <w:bCs/>
                <w:szCs w:val="21"/>
                <w:lang w:val="en-US"/>
              </w:rPr>
            </w:pPr>
            <w:r w:rsidRPr="00E579CB">
              <w:rPr>
                <w:rFonts w:cs="Arial"/>
                <w:b/>
                <w:bCs/>
                <w:szCs w:val="21"/>
                <w:lang w:val="en-US"/>
              </w:rPr>
              <w:t>2019</w:t>
            </w:r>
          </w:p>
        </w:tc>
        <w:tc>
          <w:tcPr>
            <w:tcW w:w="236" w:type="dxa"/>
            <w:shd w:val="clear" w:color="auto" w:fill="auto"/>
            <w:noWrap/>
            <w:vAlign w:val="bottom"/>
          </w:tcPr>
          <w:p w:rsidR="00E579CB" w:rsidRPr="00E579CB" w:rsidRDefault="00E579CB" w:rsidP="00E579CB">
            <w:pPr>
              <w:spacing w:after="0"/>
              <w:jc w:val="center"/>
              <w:rPr>
                <w:rFonts w:cs="Arial"/>
                <w:b/>
                <w:bCs/>
                <w:szCs w:val="21"/>
                <w:lang w:val="en-US"/>
              </w:rPr>
            </w:pPr>
          </w:p>
        </w:tc>
        <w:tc>
          <w:tcPr>
            <w:tcW w:w="1342" w:type="dxa"/>
            <w:shd w:val="clear" w:color="auto" w:fill="auto"/>
            <w:noWrap/>
            <w:vAlign w:val="bottom"/>
          </w:tcPr>
          <w:p w:rsidR="00E579CB" w:rsidRPr="00E579CB" w:rsidRDefault="00E579CB" w:rsidP="00E579CB">
            <w:pPr>
              <w:spacing w:after="0"/>
              <w:jc w:val="center"/>
              <w:rPr>
                <w:rFonts w:cs="Arial"/>
                <w:b/>
                <w:bCs/>
                <w:szCs w:val="21"/>
                <w:lang w:val="en-US"/>
              </w:rPr>
            </w:pPr>
            <w:r w:rsidRPr="00E579CB">
              <w:rPr>
                <w:rFonts w:cs="Arial"/>
                <w:b/>
                <w:bCs/>
                <w:szCs w:val="21"/>
                <w:lang w:val="en-US"/>
              </w:rPr>
              <w:t>2018</w:t>
            </w:r>
          </w:p>
        </w:tc>
      </w:tr>
      <w:tr w:rsidR="00E579CB" w:rsidRPr="00E579CB" w:rsidTr="00E579CB">
        <w:trPr>
          <w:gridAfter w:val="1"/>
          <w:wAfter w:w="481" w:type="dxa"/>
          <w:trHeight w:val="255"/>
        </w:trPr>
        <w:tc>
          <w:tcPr>
            <w:tcW w:w="4678" w:type="dxa"/>
            <w:shd w:val="clear" w:color="auto" w:fill="auto"/>
            <w:vAlign w:val="bottom"/>
          </w:tcPr>
          <w:p w:rsidR="00E579CB" w:rsidRPr="00E579CB" w:rsidRDefault="00E579CB" w:rsidP="00E579CB">
            <w:pPr>
              <w:spacing w:after="0"/>
              <w:rPr>
                <w:rFonts w:cs="Arial"/>
                <w:szCs w:val="21"/>
                <w:lang w:val="en-US"/>
              </w:rPr>
            </w:pPr>
          </w:p>
        </w:tc>
        <w:tc>
          <w:tcPr>
            <w:tcW w:w="1121" w:type="dxa"/>
            <w:shd w:val="clear" w:color="auto" w:fill="auto"/>
            <w:noWrap/>
            <w:vAlign w:val="bottom"/>
          </w:tcPr>
          <w:p w:rsidR="00E579CB" w:rsidRPr="00E579CB" w:rsidRDefault="00E579CB" w:rsidP="00E579CB">
            <w:pPr>
              <w:spacing w:after="0"/>
              <w:jc w:val="center"/>
              <w:rPr>
                <w:rFonts w:cs="Arial"/>
                <w:szCs w:val="21"/>
                <w:lang w:val="en-US"/>
              </w:rPr>
            </w:pPr>
          </w:p>
        </w:tc>
        <w:tc>
          <w:tcPr>
            <w:tcW w:w="1356" w:type="dxa"/>
            <w:shd w:val="clear" w:color="auto" w:fill="auto"/>
            <w:vAlign w:val="bottom"/>
          </w:tcPr>
          <w:p w:rsidR="00E579CB" w:rsidRPr="00E579CB" w:rsidRDefault="00E579CB" w:rsidP="00E579CB">
            <w:pPr>
              <w:spacing w:after="0"/>
              <w:jc w:val="center"/>
              <w:rPr>
                <w:rFonts w:cs="Arial"/>
                <w:b/>
                <w:bCs/>
                <w:szCs w:val="21"/>
                <w:lang w:val="en-US"/>
              </w:rPr>
            </w:pPr>
            <w:r w:rsidRPr="00E579CB">
              <w:rPr>
                <w:rFonts w:cs="Arial"/>
                <w:b/>
                <w:bCs/>
                <w:szCs w:val="21"/>
                <w:lang w:val="en-US"/>
              </w:rPr>
              <w:t>$</w:t>
            </w:r>
          </w:p>
        </w:tc>
        <w:tc>
          <w:tcPr>
            <w:tcW w:w="236" w:type="dxa"/>
            <w:shd w:val="clear" w:color="auto" w:fill="auto"/>
            <w:vAlign w:val="bottom"/>
          </w:tcPr>
          <w:p w:rsidR="00E579CB" w:rsidRPr="00E579CB" w:rsidRDefault="00E579CB" w:rsidP="00E579CB">
            <w:pPr>
              <w:spacing w:after="0"/>
              <w:jc w:val="center"/>
              <w:rPr>
                <w:rFonts w:cs="Arial"/>
                <w:b/>
                <w:bCs/>
                <w:szCs w:val="21"/>
                <w:lang w:val="en-US"/>
              </w:rPr>
            </w:pPr>
          </w:p>
        </w:tc>
        <w:tc>
          <w:tcPr>
            <w:tcW w:w="1342" w:type="dxa"/>
            <w:shd w:val="clear" w:color="auto" w:fill="auto"/>
            <w:vAlign w:val="bottom"/>
          </w:tcPr>
          <w:p w:rsidR="00E579CB" w:rsidRPr="00E579CB" w:rsidRDefault="00E579CB" w:rsidP="00E579CB">
            <w:pPr>
              <w:spacing w:after="0"/>
              <w:jc w:val="center"/>
              <w:rPr>
                <w:rFonts w:cs="Arial"/>
                <w:b/>
                <w:bCs/>
                <w:szCs w:val="21"/>
                <w:lang w:val="en-US"/>
              </w:rPr>
            </w:pPr>
            <w:r w:rsidRPr="00E579CB">
              <w:rPr>
                <w:rFonts w:cs="Arial"/>
                <w:b/>
                <w:bCs/>
                <w:szCs w:val="21"/>
                <w:lang w:val="en-US"/>
              </w:rPr>
              <w:t>$</w:t>
            </w:r>
          </w:p>
        </w:tc>
      </w:tr>
      <w:tr w:rsidR="00E579CB" w:rsidRPr="00E579CB" w:rsidTr="00E579CB">
        <w:trPr>
          <w:gridAfter w:val="1"/>
          <w:wAfter w:w="481" w:type="dxa"/>
          <w:trHeight w:val="255"/>
        </w:trPr>
        <w:tc>
          <w:tcPr>
            <w:tcW w:w="4678" w:type="dxa"/>
            <w:shd w:val="clear" w:color="auto" w:fill="auto"/>
            <w:vAlign w:val="bottom"/>
          </w:tcPr>
          <w:p w:rsidR="00E579CB" w:rsidRPr="00E579CB" w:rsidRDefault="00E579CB" w:rsidP="00E579CB">
            <w:pPr>
              <w:spacing w:after="0"/>
              <w:rPr>
                <w:rFonts w:cs="Arial"/>
                <w:szCs w:val="21"/>
                <w:lang w:val="en-US"/>
              </w:rPr>
            </w:pPr>
          </w:p>
        </w:tc>
        <w:tc>
          <w:tcPr>
            <w:tcW w:w="1121" w:type="dxa"/>
            <w:shd w:val="clear" w:color="auto" w:fill="auto"/>
            <w:noWrap/>
            <w:vAlign w:val="bottom"/>
          </w:tcPr>
          <w:p w:rsidR="00E579CB" w:rsidRPr="00E579CB" w:rsidRDefault="00E579CB" w:rsidP="00E579CB">
            <w:pPr>
              <w:spacing w:after="0"/>
              <w:jc w:val="center"/>
              <w:rPr>
                <w:rFonts w:cs="Arial"/>
                <w:szCs w:val="21"/>
                <w:lang w:val="en-US"/>
              </w:rPr>
            </w:pPr>
          </w:p>
        </w:tc>
        <w:tc>
          <w:tcPr>
            <w:tcW w:w="1356" w:type="dxa"/>
            <w:shd w:val="clear" w:color="auto" w:fill="auto"/>
            <w:noWrap/>
            <w:vAlign w:val="bottom"/>
          </w:tcPr>
          <w:p w:rsidR="00E579CB" w:rsidRPr="00E579CB" w:rsidRDefault="00E579CB" w:rsidP="00E579CB">
            <w:pPr>
              <w:spacing w:after="0"/>
              <w:rPr>
                <w:rFonts w:cs="Arial"/>
                <w:szCs w:val="21"/>
                <w:lang w:val="en-US"/>
              </w:rPr>
            </w:pPr>
          </w:p>
        </w:tc>
        <w:tc>
          <w:tcPr>
            <w:tcW w:w="236" w:type="dxa"/>
            <w:shd w:val="clear" w:color="auto" w:fill="auto"/>
            <w:noWrap/>
            <w:vAlign w:val="bottom"/>
          </w:tcPr>
          <w:p w:rsidR="00E579CB" w:rsidRPr="00E579CB" w:rsidRDefault="00E579CB" w:rsidP="00E579CB">
            <w:pPr>
              <w:spacing w:after="0"/>
              <w:rPr>
                <w:rFonts w:cs="Arial"/>
                <w:szCs w:val="21"/>
                <w:lang w:val="en-US"/>
              </w:rPr>
            </w:pPr>
          </w:p>
        </w:tc>
        <w:tc>
          <w:tcPr>
            <w:tcW w:w="1342" w:type="dxa"/>
            <w:shd w:val="clear" w:color="auto" w:fill="auto"/>
            <w:noWrap/>
            <w:vAlign w:val="bottom"/>
          </w:tcPr>
          <w:p w:rsidR="00E579CB" w:rsidRPr="00E579CB" w:rsidRDefault="00E579CB" w:rsidP="00E579CB">
            <w:pPr>
              <w:spacing w:after="0"/>
              <w:rPr>
                <w:rFonts w:cs="Arial"/>
                <w:szCs w:val="21"/>
                <w:lang w:val="en-US"/>
              </w:rPr>
            </w:pPr>
          </w:p>
        </w:tc>
      </w:tr>
      <w:tr w:rsidR="00E579CB" w:rsidRPr="00E579CB" w:rsidTr="00E579CB">
        <w:trPr>
          <w:gridAfter w:val="1"/>
          <w:wAfter w:w="481" w:type="dxa"/>
          <w:trHeight w:val="255"/>
        </w:trPr>
        <w:tc>
          <w:tcPr>
            <w:tcW w:w="4678" w:type="dxa"/>
            <w:shd w:val="clear" w:color="auto" w:fill="auto"/>
            <w:vAlign w:val="bottom"/>
          </w:tcPr>
          <w:p w:rsidR="00E579CB" w:rsidRPr="00E579CB" w:rsidRDefault="00E579CB" w:rsidP="00E579CB">
            <w:pPr>
              <w:spacing w:after="0"/>
              <w:rPr>
                <w:rFonts w:cs="Arial"/>
                <w:b/>
                <w:bCs/>
                <w:szCs w:val="21"/>
                <w:lang w:val="en-US"/>
              </w:rPr>
            </w:pPr>
            <w:r w:rsidRPr="00E579CB">
              <w:rPr>
                <w:rFonts w:cs="Arial"/>
                <w:b/>
                <w:bCs/>
                <w:szCs w:val="21"/>
                <w:lang w:val="en-US"/>
              </w:rPr>
              <w:t xml:space="preserve">Revenue </w:t>
            </w:r>
          </w:p>
        </w:tc>
        <w:tc>
          <w:tcPr>
            <w:tcW w:w="1121" w:type="dxa"/>
            <w:shd w:val="clear" w:color="auto" w:fill="auto"/>
            <w:noWrap/>
            <w:vAlign w:val="bottom"/>
          </w:tcPr>
          <w:p w:rsidR="00E579CB" w:rsidRPr="00E579CB" w:rsidRDefault="00E579CB" w:rsidP="00E579CB">
            <w:pPr>
              <w:spacing w:after="0"/>
              <w:jc w:val="center"/>
              <w:rPr>
                <w:rFonts w:cs="Arial"/>
                <w:szCs w:val="21"/>
                <w:lang w:val="en-US"/>
              </w:rPr>
            </w:pPr>
          </w:p>
        </w:tc>
        <w:tc>
          <w:tcPr>
            <w:tcW w:w="1356" w:type="dxa"/>
            <w:shd w:val="clear" w:color="auto" w:fill="auto"/>
            <w:noWrap/>
            <w:vAlign w:val="bottom"/>
          </w:tcPr>
          <w:p w:rsidR="00E579CB" w:rsidRPr="00E579CB" w:rsidRDefault="00E579CB" w:rsidP="00E579CB">
            <w:pPr>
              <w:spacing w:after="0"/>
              <w:jc w:val="right"/>
              <w:rPr>
                <w:rFonts w:cs="Arial"/>
                <w:szCs w:val="21"/>
                <w:lang w:val="en-US"/>
              </w:rPr>
            </w:pPr>
          </w:p>
        </w:tc>
        <w:tc>
          <w:tcPr>
            <w:tcW w:w="236" w:type="dxa"/>
            <w:shd w:val="clear" w:color="auto" w:fill="auto"/>
            <w:noWrap/>
            <w:vAlign w:val="bottom"/>
          </w:tcPr>
          <w:p w:rsidR="00E579CB" w:rsidRPr="00E579CB" w:rsidRDefault="00E579CB" w:rsidP="00E579CB">
            <w:pPr>
              <w:spacing w:after="0"/>
              <w:rPr>
                <w:rFonts w:cs="Arial"/>
                <w:szCs w:val="21"/>
                <w:lang w:val="en-US"/>
              </w:rPr>
            </w:pPr>
          </w:p>
        </w:tc>
        <w:tc>
          <w:tcPr>
            <w:tcW w:w="1342" w:type="dxa"/>
            <w:shd w:val="clear" w:color="auto" w:fill="auto"/>
            <w:noWrap/>
            <w:vAlign w:val="bottom"/>
          </w:tcPr>
          <w:p w:rsidR="00E579CB" w:rsidRPr="00E579CB" w:rsidRDefault="00E579CB" w:rsidP="00E579CB">
            <w:pPr>
              <w:spacing w:after="0"/>
              <w:jc w:val="right"/>
              <w:rPr>
                <w:rFonts w:cs="Arial"/>
                <w:szCs w:val="21"/>
                <w:lang w:val="en-US"/>
              </w:rPr>
            </w:pPr>
          </w:p>
        </w:tc>
      </w:tr>
      <w:tr w:rsidR="00E579CB" w:rsidRPr="00E579CB" w:rsidTr="00E579CB">
        <w:trPr>
          <w:gridAfter w:val="1"/>
          <w:wAfter w:w="481" w:type="dxa"/>
          <w:trHeight w:val="255"/>
        </w:trPr>
        <w:tc>
          <w:tcPr>
            <w:tcW w:w="4678" w:type="dxa"/>
            <w:tcBorders>
              <w:bottom w:val="nil"/>
            </w:tcBorders>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 xml:space="preserve">     Donations </w:t>
            </w:r>
          </w:p>
        </w:tc>
        <w:tc>
          <w:tcPr>
            <w:tcW w:w="1121" w:type="dxa"/>
            <w:tcBorders>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120,414</w:t>
            </w:r>
          </w:p>
        </w:tc>
        <w:tc>
          <w:tcPr>
            <w:tcW w:w="236" w:type="dxa"/>
            <w:tcBorders>
              <w:bottom w:val="nil"/>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747,920</w:t>
            </w:r>
          </w:p>
        </w:tc>
      </w:tr>
      <w:tr w:rsidR="00E579CB" w:rsidRPr="00E579CB" w:rsidTr="00E579CB">
        <w:trPr>
          <w:gridAfter w:val="1"/>
          <w:wAfter w:w="481" w:type="dxa"/>
          <w:trHeight w:val="255"/>
        </w:trPr>
        <w:tc>
          <w:tcPr>
            <w:tcW w:w="4678" w:type="dxa"/>
            <w:tcBorders>
              <w:bottom w:val="nil"/>
            </w:tcBorders>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 xml:space="preserve">     Philanthropic grants &amp; projects</w:t>
            </w:r>
          </w:p>
        </w:tc>
        <w:tc>
          <w:tcPr>
            <w:tcW w:w="1121" w:type="dxa"/>
            <w:tcBorders>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4,496,506</w:t>
            </w:r>
          </w:p>
        </w:tc>
        <w:tc>
          <w:tcPr>
            <w:tcW w:w="236" w:type="dxa"/>
            <w:tcBorders>
              <w:bottom w:val="nil"/>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4,208,823</w:t>
            </w:r>
          </w:p>
        </w:tc>
      </w:tr>
      <w:tr w:rsidR="00E579CB" w:rsidRPr="00E579CB" w:rsidTr="00E579CB">
        <w:trPr>
          <w:gridAfter w:val="1"/>
          <w:wAfter w:w="481" w:type="dxa"/>
          <w:trHeight w:val="255"/>
        </w:trPr>
        <w:tc>
          <w:tcPr>
            <w:tcW w:w="4678" w:type="dxa"/>
            <w:tcBorders>
              <w:bottom w:val="nil"/>
            </w:tcBorders>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 xml:space="preserve">     Government grants</w:t>
            </w:r>
          </w:p>
        </w:tc>
        <w:tc>
          <w:tcPr>
            <w:tcW w:w="1121" w:type="dxa"/>
            <w:tcBorders>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169,010</w:t>
            </w:r>
          </w:p>
        </w:tc>
        <w:tc>
          <w:tcPr>
            <w:tcW w:w="236" w:type="dxa"/>
            <w:tcBorders>
              <w:bottom w:val="nil"/>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155,000</w:t>
            </w:r>
          </w:p>
        </w:tc>
      </w:tr>
      <w:tr w:rsidR="00E579CB" w:rsidRPr="00E579CB" w:rsidTr="00E579CB">
        <w:trPr>
          <w:gridAfter w:val="1"/>
          <w:wAfter w:w="481" w:type="dxa"/>
          <w:trHeight w:val="255"/>
        </w:trPr>
        <w:tc>
          <w:tcPr>
            <w:tcW w:w="4678" w:type="dxa"/>
            <w:tcBorders>
              <w:bottom w:val="nil"/>
            </w:tcBorders>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 xml:space="preserve">     Tenancy selection &amp; support</w:t>
            </w:r>
          </w:p>
        </w:tc>
        <w:tc>
          <w:tcPr>
            <w:tcW w:w="1121" w:type="dxa"/>
            <w:tcBorders>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541,227</w:t>
            </w:r>
          </w:p>
        </w:tc>
        <w:tc>
          <w:tcPr>
            <w:tcW w:w="236" w:type="dxa"/>
            <w:tcBorders>
              <w:bottom w:val="nil"/>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193,362</w:t>
            </w:r>
          </w:p>
        </w:tc>
      </w:tr>
      <w:tr w:rsidR="00E579CB" w:rsidRPr="00E579CB" w:rsidTr="00E579CB">
        <w:trPr>
          <w:gridAfter w:val="1"/>
          <w:wAfter w:w="481" w:type="dxa"/>
          <w:trHeight w:val="255"/>
        </w:trPr>
        <w:tc>
          <w:tcPr>
            <w:tcW w:w="4678" w:type="dxa"/>
            <w:tcBorders>
              <w:bottom w:val="nil"/>
            </w:tcBorders>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 xml:space="preserve">     Interest income</w:t>
            </w:r>
          </w:p>
        </w:tc>
        <w:tc>
          <w:tcPr>
            <w:tcW w:w="1121" w:type="dxa"/>
            <w:tcBorders>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4,803</w:t>
            </w:r>
          </w:p>
        </w:tc>
        <w:tc>
          <w:tcPr>
            <w:tcW w:w="236" w:type="dxa"/>
            <w:tcBorders>
              <w:bottom w:val="nil"/>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8,216</w:t>
            </w:r>
          </w:p>
        </w:tc>
      </w:tr>
      <w:tr w:rsidR="00E579CB" w:rsidRPr="00E579CB" w:rsidTr="00E579CB">
        <w:trPr>
          <w:gridAfter w:val="1"/>
          <w:wAfter w:w="481" w:type="dxa"/>
          <w:trHeight w:val="255"/>
        </w:trPr>
        <w:tc>
          <w:tcPr>
            <w:tcW w:w="4678" w:type="dxa"/>
            <w:tcBorders>
              <w:bottom w:val="nil"/>
            </w:tcBorders>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 xml:space="preserve">     Management services</w:t>
            </w:r>
          </w:p>
        </w:tc>
        <w:tc>
          <w:tcPr>
            <w:tcW w:w="1121" w:type="dxa"/>
            <w:tcBorders>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w:t>
            </w:r>
          </w:p>
        </w:tc>
        <w:tc>
          <w:tcPr>
            <w:tcW w:w="236" w:type="dxa"/>
            <w:tcBorders>
              <w:bottom w:val="nil"/>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139,002</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 xml:space="preserve">     NDIS support payments</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top w:val="nil"/>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301,054</w:t>
            </w:r>
          </w:p>
        </w:tc>
        <w:tc>
          <w:tcPr>
            <w:tcW w:w="236" w:type="dxa"/>
            <w:tcBorders>
              <w:top w:val="nil"/>
              <w:bottom w:val="nil"/>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nil"/>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37,838</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 xml:space="preserve">     Other income</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top w:val="nil"/>
              <w:bottom w:val="sing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244,435</w:t>
            </w:r>
          </w:p>
        </w:tc>
        <w:tc>
          <w:tcPr>
            <w:tcW w:w="236" w:type="dxa"/>
            <w:tcBorders>
              <w:top w:val="nil"/>
              <w:bottom w:val="single" w:sz="4" w:space="0" w:color="auto"/>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nil"/>
              <w:bottom w:val="sing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146,110</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rPr>
                <w:rFonts w:cs="Arial"/>
                <w:szCs w:val="21"/>
                <w:lang w:val="en-US"/>
              </w:rPr>
            </w:pP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top w:val="single" w:sz="4" w:space="0" w:color="auto"/>
              <w:bottom w:val="sing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5,877,449</w:t>
            </w:r>
          </w:p>
        </w:tc>
        <w:tc>
          <w:tcPr>
            <w:tcW w:w="236" w:type="dxa"/>
            <w:tcBorders>
              <w:top w:val="single" w:sz="4" w:space="0" w:color="auto"/>
              <w:bottom w:val="single" w:sz="4" w:space="0" w:color="auto"/>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single" w:sz="4" w:space="0" w:color="auto"/>
              <w:bottom w:val="sing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5,636,271</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rPr>
                <w:rFonts w:cs="Arial"/>
                <w:szCs w:val="21"/>
                <w:lang w:val="en-US"/>
              </w:rPr>
            </w:pP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top w:val="single" w:sz="4" w:space="0" w:color="auto"/>
            </w:tcBorders>
            <w:shd w:val="clear" w:color="auto" w:fill="auto"/>
            <w:noWrap/>
            <w:vAlign w:val="bottom"/>
          </w:tcPr>
          <w:p w:rsidR="00E579CB" w:rsidRPr="00E579CB" w:rsidRDefault="00E579CB" w:rsidP="00E579CB">
            <w:pPr>
              <w:spacing w:after="0"/>
              <w:rPr>
                <w:rFonts w:cs="Arial"/>
                <w:b/>
                <w:szCs w:val="21"/>
                <w:highlight w:val="yellow"/>
                <w:lang w:val="en-US"/>
              </w:rPr>
            </w:pPr>
          </w:p>
        </w:tc>
        <w:tc>
          <w:tcPr>
            <w:tcW w:w="236" w:type="dxa"/>
            <w:tcBorders>
              <w:top w:val="single" w:sz="4" w:space="0" w:color="auto"/>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single" w:sz="4" w:space="0" w:color="auto"/>
            </w:tcBorders>
            <w:shd w:val="clear" w:color="auto" w:fill="auto"/>
            <w:noWrap/>
            <w:vAlign w:val="bottom"/>
          </w:tcPr>
          <w:p w:rsidR="00E579CB" w:rsidRPr="00E579CB" w:rsidRDefault="00E579CB" w:rsidP="00E579CB">
            <w:pPr>
              <w:spacing w:after="0"/>
              <w:rPr>
                <w:rFonts w:cs="Arial"/>
                <w:b/>
                <w:szCs w:val="21"/>
                <w:highlight w:val="yellow"/>
                <w:lang w:val="en-US"/>
              </w:rPr>
            </w:pP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rPr>
                <w:rFonts w:cs="Arial"/>
                <w:b/>
                <w:bCs/>
                <w:szCs w:val="21"/>
                <w:lang w:val="en-US"/>
              </w:rPr>
            </w:pPr>
            <w:r w:rsidRPr="00E579CB">
              <w:rPr>
                <w:rFonts w:cs="Arial"/>
                <w:b/>
                <w:bCs/>
                <w:szCs w:val="21"/>
                <w:lang w:val="en-US"/>
              </w:rPr>
              <w:t xml:space="preserve">Expenses </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shd w:val="clear" w:color="auto" w:fill="auto"/>
            <w:noWrap/>
            <w:vAlign w:val="bottom"/>
          </w:tcPr>
          <w:p w:rsidR="00E579CB" w:rsidRPr="00E579CB" w:rsidRDefault="00E579CB" w:rsidP="00E579CB">
            <w:pPr>
              <w:spacing w:after="0"/>
              <w:rPr>
                <w:rFonts w:cs="Arial"/>
                <w:b/>
                <w:szCs w:val="21"/>
                <w:highlight w:val="yellow"/>
                <w:lang w:val="en-US"/>
              </w:rPr>
            </w:pPr>
          </w:p>
        </w:tc>
        <w:tc>
          <w:tcPr>
            <w:tcW w:w="236" w:type="dxa"/>
            <w:shd w:val="clear" w:color="auto" w:fill="auto"/>
            <w:noWrap/>
            <w:vAlign w:val="bottom"/>
          </w:tcPr>
          <w:p w:rsidR="00E579CB" w:rsidRPr="00E579CB" w:rsidRDefault="00E579CB" w:rsidP="00E579CB">
            <w:pPr>
              <w:spacing w:after="0"/>
              <w:rPr>
                <w:rFonts w:cs="Arial"/>
                <w:szCs w:val="21"/>
                <w:lang w:val="en-US"/>
              </w:rPr>
            </w:pPr>
          </w:p>
        </w:tc>
        <w:tc>
          <w:tcPr>
            <w:tcW w:w="1342" w:type="dxa"/>
            <w:shd w:val="clear" w:color="auto" w:fill="auto"/>
            <w:noWrap/>
            <w:vAlign w:val="bottom"/>
          </w:tcPr>
          <w:p w:rsidR="00E579CB" w:rsidRPr="00E579CB" w:rsidRDefault="00E579CB" w:rsidP="00E579CB">
            <w:pPr>
              <w:spacing w:after="0"/>
              <w:rPr>
                <w:rFonts w:cs="Arial"/>
                <w:b/>
                <w:szCs w:val="21"/>
                <w:highlight w:val="yellow"/>
                <w:lang w:val="en-US"/>
              </w:rPr>
            </w:pP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ind w:left="318"/>
              <w:rPr>
                <w:rFonts w:cs="Arial"/>
                <w:szCs w:val="21"/>
                <w:lang w:val="en-US"/>
              </w:rPr>
            </w:pPr>
            <w:r w:rsidRPr="00E579CB">
              <w:rPr>
                <w:rFonts w:cs="Arial"/>
                <w:szCs w:val="21"/>
                <w:lang w:val="en-US"/>
              </w:rPr>
              <w:t>Non-project employee related expenses</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(2,023,652)</w:t>
            </w:r>
          </w:p>
        </w:tc>
        <w:tc>
          <w:tcPr>
            <w:tcW w:w="236" w:type="dxa"/>
            <w:tcBorders>
              <w:bottom w:val="nil"/>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(1,991,453)</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ind w:left="318"/>
              <w:rPr>
                <w:rFonts w:cs="Arial"/>
                <w:szCs w:val="21"/>
                <w:lang w:val="en-US"/>
              </w:rPr>
            </w:pPr>
            <w:r w:rsidRPr="00E579CB">
              <w:rPr>
                <w:rFonts w:cs="Arial"/>
                <w:szCs w:val="21"/>
                <w:lang w:val="en-US"/>
              </w:rPr>
              <w:t>Project costs</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top w:val="nil"/>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(2,926,984)</w:t>
            </w:r>
          </w:p>
        </w:tc>
        <w:tc>
          <w:tcPr>
            <w:tcW w:w="236" w:type="dxa"/>
            <w:tcBorders>
              <w:top w:val="nil"/>
              <w:bottom w:val="nil"/>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nil"/>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(2,008,687)</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ind w:left="318"/>
              <w:rPr>
                <w:rFonts w:cs="Arial"/>
                <w:szCs w:val="21"/>
                <w:lang w:val="en-US"/>
              </w:rPr>
            </w:pPr>
            <w:r w:rsidRPr="00E579CB">
              <w:rPr>
                <w:rFonts w:cs="Arial"/>
                <w:szCs w:val="21"/>
                <w:lang w:val="en-US"/>
              </w:rPr>
              <w:t>Event costs</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top w:val="nil"/>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(53,761)</w:t>
            </w:r>
          </w:p>
        </w:tc>
        <w:tc>
          <w:tcPr>
            <w:tcW w:w="236" w:type="dxa"/>
            <w:tcBorders>
              <w:top w:val="nil"/>
              <w:bottom w:val="nil"/>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nil"/>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(43,705)</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ind w:left="318"/>
              <w:rPr>
                <w:rFonts w:cs="Arial"/>
                <w:szCs w:val="21"/>
                <w:lang w:val="en-US"/>
              </w:rPr>
            </w:pPr>
            <w:r w:rsidRPr="00E579CB">
              <w:rPr>
                <w:rFonts w:cs="Arial"/>
                <w:szCs w:val="21"/>
                <w:lang w:val="en-US"/>
              </w:rPr>
              <w:t xml:space="preserve">Depreciation &amp; </w:t>
            </w:r>
            <w:proofErr w:type="spellStart"/>
            <w:r w:rsidRPr="00E579CB">
              <w:rPr>
                <w:rFonts w:cs="Arial"/>
                <w:szCs w:val="21"/>
                <w:lang w:val="en-US"/>
              </w:rPr>
              <w:t>amortisation</w:t>
            </w:r>
            <w:proofErr w:type="spellEnd"/>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top w:val="nil"/>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(42,078)</w:t>
            </w:r>
          </w:p>
        </w:tc>
        <w:tc>
          <w:tcPr>
            <w:tcW w:w="236" w:type="dxa"/>
            <w:tcBorders>
              <w:top w:val="nil"/>
              <w:bottom w:val="nil"/>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nil"/>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(115,459)</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ind w:left="318"/>
              <w:rPr>
                <w:rFonts w:cs="Arial"/>
                <w:szCs w:val="21"/>
                <w:lang w:val="en-US"/>
              </w:rPr>
            </w:pPr>
            <w:r w:rsidRPr="00E579CB">
              <w:rPr>
                <w:rFonts w:cs="Arial"/>
                <w:szCs w:val="21"/>
                <w:lang w:val="en-US"/>
              </w:rPr>
              <w:t>NDIS costs</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top w:val="nil"/>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w:t>
            </w:r>
          </w:p>
        </w:tc>
        <w:tc>
          <w:tcPr>
            <w:tcW w:w="236" w:type="dxa"/>
            <w:tcBorders>
              <w:top w:val="nil"/>
              <w:bottom w:val="nil"/>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nil"/>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(2,040)</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ind w:left="318"/>
              <w:rPr>
                <w:rFonts w:cs="Arial"/>
                <w:szCs w:val="21"/>
                <w:lang w:val="en-US"/>
              </w:rPr>
            </w:pPr>
            <w:r w:rsidRPr="00E579CB">
              <w:rPr>
                <w:rFonts w:cs="Arial"/>
                <w:szCs w:val="21"/>
                <w:lang w:val="en-US"/>
              </w:rPr>
              <w:t>Competitive research grant</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top w:val="nil"/>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(257,522)</w:t>
            </w:r>
          </w:p>
        </w:tc>
        <w:tc>
          <w:tcPr>
            <w:tcW w:w="236" w:type="dxa"/>
            <w:tcBorders>
              <w:top w:val="nil"/>
              <w:bottom w:val="nil"/>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nil"/>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ind w:left="318"/>
              <w:rPr>
                <w:rFonts w:cs="Arial"/>
                <w:szCs w:val="21"/>
                <w:lang w:val="en-US"/>
              </w:rPr>
            </w:pPr>
            <w:r w:rsidRPr="00E579CB">
              <w:rPr>
                <w:rFonts w:cs="Arial"/>
                <w:szCs w:val="21"/>
                <w:lang w:val="en-US"/>
              </w:rPr>
              <w:t>Other costs</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top w:val="nil"/>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(568,902)</w:t>
            </w:r>
          </w:p>
        </w:tc>
        <w:tc>
          <w:tcPr>
            <w:tcW w:w="236" w:type="dxa"/>
            <w:tcBorders>
              <w:top w:val="nil"/>
              <w:bottom w:val="nil"/>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nil"/>
              <w:bottom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(984,907)</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ind w:left="318"/>
              <w:rPr>
                <w:rFonts w:cs="Arial"/>
                <w:szCs w:val="21"/>
                <w:lang w:val="en-US"/>
              </w:rPr>
            </w:pPr>
            <w:r w:rsidRPr="00E579CB">
              <w:rPr>
                <w:rFonts w:cs="Arial"/>
                <w:szCs w:val="21"/>
                <w:lang w:val="en-US"/>
              </w:rPr>
              <w:t>Loss on transfer of assets</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r w:rsidRPr="00E579CB">
              <w:rPr>
                <w:rFonts w:cs="Arial"/>
                <w:szCs w:val="21"/>
                <w:lang w:val="en-US"/>
              </w:rPr>
              <w:t>13</w:t>
            </w:r>
          </w:p>
        </w:tc>
        <w:tc>
          <w:tcPr>
            <w:tcW w:w="1356" w:type="dxa"/>
            <w:tcBorders>
              <w:top w:val="nil"/>
              <w:bottom w:val="sing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w:t>
            </w:r>
          </w:p>
        </w:tc>
        <w:tc>
          <w:tcPr>
            <w:tcW w:w="236" w:type="dxa"/>
            <w:tcBorders>
              <w:top w:val="nil"/>
              <w:bottom w:val="single" w:sz="4" w:space="0" w:color="auto"/>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nil"/>
              <w:bottom w:val="sing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(7,179,290)</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rPr>
                <w:rFonts w:cs="Arial"/>
                <w:b/>
                <w:szCs w:val="21"/>
                <w:lang w:val="en-US"/>
              </w:rPr>
            </w:pPr>
            <w:r w:rsidRPr="00E579CB">
              <w:rPr>
                <w:rFonts w:cs="Arial"/>
                <w:b/>
                <w:szCs w:val="21"/>
                <w:lang w:val="en-US"/>
              </w:rPr>
              <w:t>Surplus/ (Deficit) before income tax</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b/>
                <w:szCs w:val="21"/>
                <w:lang w:val="en-US"/>
              </w:rPr>
            </w:pPr>
          </w:p>
        </w:tc>
        <w:tc>
          <w:tcPr>
            <w:tcW w:w="1356" w:type="dxa"/>
            <w:tcBorders>
              <w:top w:val="sing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4,550</w:t>
            </w:r>
          </w:p>
        </w:tc>
        <w:tc>
          <w:tcPr>
            <w:tcW w:w="236" w:type="dxa"/>
            <w:tcBorders>
              <w:top w:val="single" w:sz="4" w:space="0" w:color="auto"/>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sing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(6,689,270)</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rPr>
                <w:rFonts w:cs="Arial"/>
                <w:bCs/>
                <w:szCs w:val="21"/>
                <w:lang w:val="en-US"/>
              </w:rPr>
            </w:pPr>
            <w:r w:rsidRPr="00E579CB">
              <w:rPr>
                <w:rFonts w:cs="Arial"/>
                <w:b/>
                <w:bCs/>
                <w:szCs w:val="21"/>
                <w:lang w:val="en-US"/>
              </w:rPr>
              <w:t xml:space="preserve">     </w:t>
            </w:r>
            <w:r w:rsidRPr="00E579CB">
              <w:rPr>
                <w:rFonts w:cs="Arial"/>
                <w:bCs/>
                <w:szCs w:val="21"/>
                <w:lang w:val="en-US"/>
              </w:rPr>
              <w:t>Income tax</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bottom w:val="sing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w:t>
            </w:r>
          </w:p>
        </w:tc>
        <w:tc>
          <w:tcPr>
            <w:tcW w:w="236" w:type="dxa"/>
            <w:tcBorders>
              <w:bottom w:val="single" w:sz="4" w:space="0" w:color="auto"/>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bottom w:val="sing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ind w:right="-180"/>
              <w:rPr>
                <w:rFonts w:cs="Arial"/>
                <w:b/>
                <w:bCs/>
                <w:szCs w:val="21"/>
                <w:lang w:val="en-US"/>
              </w:rPr>
            </w:pPr>
            <w:r w:rsidRPr="00E579CB">
              <w:rPr>
                <w:rFonts w:cs="Arial"/>
                <w:b/>
                <w:szCs w:val="21"/>
                <w:lang w:val="en-US"/>
              </w:rPr>
              <w:t xml:space="preserve">Surplus/ (Deficit) </w:t>
            </w:r>
            <w:r w:rsidRPr="00E579CB">
              <w:rPr>
                <w:rFonts w:cs="Arial"/>
                <w:b/>
                <w:szCs w:val="21"/>
              </w:rPr>
              <w:t>after income tax</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top w:val="single" w:sz="4" w:space="0" w:color="auto"/>
              <w:bottom w:val="sing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4,550</w:t>
            </w:r>
          </w:p>
        </w:tc>
        <w:tc>
          <w:tcPr>
            <w:tcW w:w="236" w:type="dxa"/>
            <w:tcBorders>
              <w:top w:val="single" w:sz="4" w:space="0" w:color="auto"/>
              <w:bottom w:val="single" w:sz="4" w:space="0" w:color="auto"/>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single" w:sz="4" w:space="0" w:color="auto"/>
              <w:bottom w:val="sing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(6,689,270)</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rPr>
                <w:rFonts w:cs="Arial"/>
                <w:b/>
                <w:bCs/>
                <w:szCs w:val="21"/>
                <w:lang w:val="en-US"/>
              </w:rPr>
            </w:pP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top w:val="single" w:sz="4" w:space="0" w:color="auto"/>
            </w:tcBorders>
            <w:shd w:val="clear" w:color="auto" w:fill="auto"/>
            <w:noWrap/>
            <w:vAlign w:val="bottom"/>
          </w:tcPr>
          <w:p w:rsidR="00E579CB" w:rsidRPr="00E579CB" w:rsidRDefault="00E579CB" w:rsidP="00E579CB">
            <w:pPr>
              <w:spacing w:after="0"/>
              <w:jc w:val="right"/>
              <w:rPr>
                <w:rFonts w:cs="Arial"/>
                <w:b/>
                <w:szCs w:val="21"/>
                <w:lang w:val="en-US"/>
              </w:rPr>
            </w:pPr>
          </w:p>
        </w:tc>
        <w:tc>
          <w:tcPr>
            <w:tcW w:w="236" w:type="dxa"/>
            <w:tcBorders>
              <w:top w:val="single" w:sz="4" w:space="0" w:color="auto"/>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single" w:sz="4" w:space="0" w:color="auto"/>
            </w:tcBorders>
            <w:shd w:val="clear" w:color="auto" w:fill="auto"/>
            <w:noWrap/>
            <w:vAlign w:val="bottom"/>
          </w:tcPr>
          <w:p w:rsidR="00E579CB" w:rsidRPr="00E579CB" w:rsidRDefault="00E579CB" w:rsidP="00E579CB">
            <w:pPr>
              <w:spacing w:after="0"/>
              <w:jc w:val="right"/>
              <w:rPr>
                <w:rFonts w:cs="Arial"/>
                <w:b/>
                <w:szCs w:val="21"/>
                <w:lang w:val="en-US"/>
              </w:rPr>
            </w:pP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rPr>
                <w:rFonts w:cs="Arial"/>
                <w:b/>
                <w:bCs/>
                <w:szCs w:val="21"/>
                <w:lang w:val="en-US"/>
              </w:rPr>
            </w:pPr>
            <w:r w:rsidRPr="00E579CB">
              <w:rPr>
                <w:rFonts w:cs="Arial"/>
                <w:b/>
                <w:bCs/>
                <w:szCs w:val="21"/>
                <w:lang w:val="en-US"/>
              </w:rPr>
              <w:t>Other comprehensive income</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bottom w:val="sing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w:t>
            </w:r>
          </w:p>
        </w:tc>
        <w:tc>
          <w:tcPr>
            <w:tcW w:w="236" w:type="dxa"/>
            <w:tcBorders>
              <w:bottom w:val="single" w:sz="4" w:space="0" w:color="auto"/>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bottom w:val="sing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w:t>
            </w:r>
          </w:p>
        </w:tc>
      </w:tr>
      <w:tr w:rsidR="00E579CB" w:rsidRPr="00E579CB" w:rsidTr="00E579CB">
        <w:trPr>
          <w:gridAfter w:val="1"/>
          <w:wAfter w:w="481" w:type="dxa"/>
          <w:trHeight w:val="255"/>
        </w:trPr>
        <w:tc>
          <w:tcPr>
            <w:tcW w:w="4678" w:type="dxa"/>
            <w:tcBorders>
              <w:top w:val="nil"/>
              <w:bottom w:val="nil"/>
            </w:tcBorders>
            <w:shd w:val="clear" w:color="auto" w:fill="auto"/>
            <w:vAlign w:val="bottom"/>
          </w:tcPr>
          <w:p w:rsidR="00E579CB" w:rsidRPr="00E579CB" w:rsidRDefault="00E579CB" w:rsidP="00E579CB">
            <w:pPr>
              <w:spacing w:after="0"/>
              <w:rPr>
                <w:rFonts w:cs="Arial"/>
                <w:b/>
                <w:bCs/>
                <w:szCs w:val="21"/>
                <w:lang w:val="en-US"/>
              </w:rPr>
            </w:pPr>
            <w:r w:rsidRPr="00E579CB">
              <w:rPr>
                <w:rFonts w:cs="Arial"/>
                <w:b/>
                <w:bCs/>
                <w:szCs w:val="21"/>
                <w:lang w:val="en-US"/>
              </w:rPr>
              <w:t>Total comprehensive income/ (loss) for the year</w:t>
            </w:r>
          </w:p>
        </w:tc>
        <w:tc>
          <w:tcPr>
            <w:tcW w:w="1121" w:type="dxa"/>
            <w:tcBorders>
              <w:top w:val="nil"/>
              <w:bottom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356" w:type="dxa"/>
            <w:tcBorders>
              <w:top w:val="single" w:sz="4" w:space="0" w:color="auto"/>
              <w:bottom w:val="doub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4,550</w:t>
            </w:r>
          </w:p>
        </w:tc>
        <w:tc>
          <w:tcPr>
            <w:tcW w:w="236" w:type="dxa"/>
            <w:tcBorders>
              <w:top w:val="single" w:sz="4" w:space="0" w:color="auto"/>
              <w:bottom w:val="double" w:sz="4" w:space="0" w:color="auto"/>
            </w:tcBorders>
            <w:shd w:val="clear" w:color="auto" w:fill="auto"/>
            <w:noWrap/>
            <w:vAlign w:val="bottom"/>
          </w:tcPr>
          <w:p w:rsidR="00E579CB" w:rsidRPr="00E579CB" w:rsidRDefault="00E579CB" w:rsidP="00E579CB">
            <w:pPr>
              <w:spacing w:after="0"/>
              <w:rPr>
                <w:rFonts w:cs="Arial"/>
                <w:szCs w:val="21"/>
                <w:lang w:val="en-US"/>
              </w:rPr>
            </w:pPr>
          </w:p>
        </w:tc>
        <w:tc>
          <w:tcPr>
            <w:tcW w:w="1342" w:type="dxa"/>
            <w:tcBorders>
              <w:top w:val="single" w:sz="4" w:space="0" w:color="auto"/>
              <w:bottom w:val="double" w:sz="4" w:space="0" w:color="auto"/>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(6,689,270)</w:t>
            </w:r>
          </w:p>
        </w:tc>
      </w:tr>
    </w:tbl>
    <w:p w:rsidR="00E579CB" w:rsidRPr="00E579CB" w:rsidRDefault="00E579CB" w:rsidP="00E579CB">
      <w:pPr>
        <w:pStyle w:val="Boldsize11pt"/>
        <w:rPr>
          <w:rFonts w:ascii="Helvetica Neue" w:hAnsi="Helvetica Neue"/>
          <w:sz w:val="21"/>
          <w:szCs w:val="21"/>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r w:rsidRPr="00E579CB">
        <w:rPr>
          <w:rFonts w:ascii="Helvetica Neue" w:hAnsi="Helvetica Neue"/>
          <w:i/>
          <w:sz w:val="21"/>
          <w:szCs w:val="21"/>
          <w:lang w:val="en-US"/>
        </w:rPr>
        <w:t>The above Statement of Profit or Loss and Other Comprehensive Income should be read in conjunction with the accompanying notes.</w:t>
      </w:r>
    </w:p>
    <w:p w:rsidR="00E579CB" w:rsidRPr="00E579CB" w:rsidRDefault="00E579CB" w:rsidP="00E579CB">
      <w:pPr>
        <w:spacing w:after="0"/>
        <w:rPr>
          <w:i/>
          <w:szCs w:val="21"/>
          <w:lang w:val="en-US"/>
        </w:rPr>
      </w:pPr>
      <w:r w:rsidRPr="00E579CB">
        <w:rPr>
          <w:i/>
          <w:szCs w:val="21"/>
          <w:lang w:val="en-US"/>
        </w:rPr>
        <w:br w:type="column"/>
      </w:r>
      <w:r w:rsidRPr="00E579CB">
        <w:rPr>
          <w:rFonts w:cs="Arial"/>
          <w:b/>
          <w:bCs/>
          <w:szCs w:val="21"/>
          <w:lang w:val="en-US"/>
        </w:rPr>
        <w:lastRenderedPageBreak/>
        <w:t>Statement of Financial Position</w:t>
      </w:r>
    </w:p>
    <w:tbl>
      <w:tblPr>
        <w:tblW w:w="8539" w:type="dxa"/>
        <w:tblInd w:w="-108" w:type="dxa"/>
        <w:tblLayout w:type="fixed"/>
        <w:tblLook w:val="0000" w:firstRow="0" w:lastRow="0" w:firstColumn="0" w:lastColumn="0" w:noHBand="0" w:noVBand="0"/>
      </w:tblPr>
      <w:tblGrid>
        <w:gridCol w:w="4820"/>
        <w:gridCol w:w="883"/>
        <w:gridCol w:w="1385"/>
        <w:gridCol w:w="1451"/>
      </w:tblGrid>
      <w:tr w:rsidR="00E579CB" w:rsidRPr="00E579CB" w:rsidTr="00E579CB">
        <w:trPr>
          <w:trHeight w:val="255"/>
        </w:trPr>
        <w:tc>
          <w:tcPr>
            <w:tcW w:w="4820" w:type="dxa"/>
            <w:shd w:val="clear" w:color="auto" w:fill="auto"/>
            <w:vAlign w:val="bottom"/>
          </w:tcPr>
          <w:p w:rsidR="00E579CB" w:rsidRPr="00E579CB" w:rsidRDefault="00E579CB" w:rsidP="00E579CB">
            <w:pPr>
              <w:spacing w:after="0"/>
              <w:rPr>
                <w:i/>
                <w:szCs w:val="21"/>
                <w:lang w:val="en-US"/>
              </w:rPr>
            </w:pPr>
            <w:r w:rsidRPr="00E579CB">
              <w:rPr>
                <w:rFonts w:cs="Arial"/>
                <w:b/>
                <w:bCs/>
                <w:szCs w:val="21"/>
                <w:lang w:val="en-US"/>
              </w:rPr>
              <w:t>As at 30 June 2019</w:t>
            </w:r>
          </w:p>
        </w:tc>
        <w:tc>
          <w:tcPr>
            <w:tcW w:w="883" w:type="dxa"/>
            <w:vAlign w:val="bottom"/>
          </w:tcPr>
          <w:p w:rsidR="00E579CB" w:rsidRPr="00E579CB" w:rsidRDefault="00E579CB" w:rsidP="00E579CB">
            <w:pPr>
              <w:spacing w:after="0"/>
              <w:jc w:val="center"/>
              <w:rPr>
                <w:rFonts w:cs="Arial"/>
                <w:b/>
                <w:bCs/>
                <w:color w:val="000000"/>
                <w:position w:val="-6"/>
                <w:szCs w:val="21"/>
                <w:lang w:val="en-US"/>
              </w:rPr>
            </w:pPr>
          </w:p>
        </w:tc>
        <w:tc>
          <w:tcPr>
            <w:tcW w:w="1385" w:type="dxa"/>
            <w:vAlign w:val="bottom"/>
          </w:tcPr>
          <w:p w:rsidR="00E579CB" w:rsidRPr="00E579CB" w:rsidRDefault="00E579CB" w:rsidP="00E579CB">
            <w:pPr>
              <w:spacing w:after="0"/>
              <w:jc w:val="center"/>
              <w:rPr>
                <w:rFonts w:cs="Arial"/>
                <w:b/>
                <w:bCs/>
                <w:color w:val="000000"/>
                <w:position w:val="-6"/>
                <w:szCs w:val="21"/>
                <w:lang w:val="en-US"/>
              </w:rPr>
            </w:pPr>
          </w:p>
        </w:tc>
        <w:tc>
          <w:tcPr>
            <w:tcW w:w="1451" w:type="dxa"/>
            <w:vAlign w:val="bottom"/>
          </w:tcPr>
          <w:p w:rsidR="00E579CB" w:rsidRPr="00E579CB" w:rsidRDefault="00E579CB" w:rsidP="00E579CB">
            <w:pPr>
              <w:spacing w:after="0"/>
              <w:jc w:val="center"/>
              <w:rPr>
                <w:rFonts w:cs="Arial"/>
                <w:bCs/>
                <w:color w:val="000000"/>
                <w:position w:val="-6"/>
                <w:szCs w:val="21"/>
                <w:lang w:val="en-US"/>
              </w:rPr>
            </w:pPr>
          </w:p>
        </w:tc>
      </w:tr>
      <w:tr w:rsidR="00E579CB" w:rsidRPr="00E579CB" w:rsidTr="00E579CB">
        <w:trPr>
          <w:trHeight w:val="255"/>
        </w:trPr>
        <w:tc>
          <w:tcPr>
            <w:tcW w:w="4820" w:type="dxa"/>
            <w:shd w:val="clear" w:color="auto" w:fill="auto"/>
            <w:vAlign w:val="bottom"/>
          </w:tcPr>
          <w:p w:rsidR="00E579CB" w:rsidRPr="00E579CB" w:rsidRDefault="00E579CB" w:rsidP="00E579CB">
            <w:pPr>
              <w:spacing w:after="0"/>
              <w:rPr>
                <w:rFonts w:cs="Arial"/>
                <w:color w:val="000000"/>
                <w:szCs w:val="21"/>
                <w:lang w:val="en-US"/>
              </w:rPr>
            </w:pPr>
          </w:p>
        </w:tc>
        <w:tc>
          <w:tcPr>
            <w:tcW w:w="883" w:type="dxa"/>
            <w:vAlign w:val="bottom"/>
          </w:tcPr>
          <w:p w:rsidR="00E579CB" w:rsidRPr="00E579CB" w:rsidRDefault="00E579CB" w:rsidP="00E579CB">
            <w:pPr>
              <w:spacing w:after="0"/>
              <w:jc w:val="center"/>
              <w:rPr>
                <w:rFonts w:cs="Arial"/>
                <w:b/>
                <w:bCs/>
                <w:color w:val="000000"/>
                <w:position w:val="-6"/>
                <w:szCs w:val="21"/>
                <w:lang w:val="en-US"/>
              </w:rPr>
            </w:pPr>
          </w:p>
        </w:tc>
        <w:tc>
          <w:tcPr>
            <w:tcW w:w="1385" w:type="dxa"/>
            <w:vAlign w:val="bottom"/>
          </w:tcPr>
          <w:p w:rsidR="00E579CB" w:rsidRPr="00E579CB" w:rsidRDefault="00E579CB" w:rsidP="00E579CB">
            <w:pPr>
              <w:spacing w:after="0"/>
              <w:jc w:val="center"/>
              <w:rPr>
                <w:rFonts w:cs="Arial"/>
                <w:b/>
                <w:bCs/>
                <w:color w:val="000000"/>
                <w:position w:val="-6"/>
                <w:szCs w:val="21"/>
                <w:lang w:val="en-US"/>
              </w:rPr>
            </w:pPr>
          </w:p>
        </w:tc>
        <w:tc>
          <w:tcPr>
            <w:tcW w:w="1451" w:type="dxa"/>
            <w:vAlign w:val="bottom"/>
          </w:tcPr>
          <w:p w:rsidR="00E579CB" w:rsidRPr="00E579CB" w:rsidRDefault="00E579CB" w:rsidP="00E579CB">
            <w:pPr>
              <w:spacing w:after="0"/>
              <w:jc w:val="center"/>
              <w:rPr>
                <w:rFonts w:cs="Arial"/>
                <w:bCs/>
                <w:color w:val="000000"/>
                <w:position w:val="-6"/>
                <w:szCs w:val="21"/>
                <w:lang w:val="en-US"/>
              </w:rPr>
            </w:pPr>
          </w:p>
        </w:tc>
      </w:tr>
      <w:tr w:rsidR="00E579CB" w:rsidRPr="00E579CB" w:rsidTr="00E579CB">
        <w:trPr>
          <w:trHeight w:val="255"/>
        </w:trPr>
        <w:tc>
          <w:tcPr>
            <w:tcW w:w="4820" w:type="dxa"/>
            <w:vMerge w:val="restart"/>
            <w:shd w:val="clear" w:color="auto" w:fill="auto"/>
            <w:vAlign w:val="bottom"/>
          </w:tcPr>
          <w:p w:rsidR="00E579CB" w:rsidRPr="00E579CB" w:rsidRDefault="00E579CB" w:rsidP="00E579CB">
            <w:pPr>
              <w:spacing w:after="0"/>
              <w:rPr>
                <w:rFonts w:cs="Arial"/>
                <w:color w:val="000000"/>
                <w:szCs w:val="21"/>
                <w:lang w:val="en-US"/>
              </w:rPr>
            </w:pPr>
          </w:p>
        </w:tc>
        <w:tc>
          <w:tcPr>
            <w:tcW w:w="883" w:type="dxa"/>
            <w:vAlign w:val="bottom"/>
          </w:tcPr>
          <w:p w:rsidR="00E579CB" w:rsidRPr="00E579CB" w:rsidRDefault="00E579CB" w:rsidP="00E579CB">
            <w:pPr>
              <w:spacing w:after="0"/>
              <w:jc w:val="center"/>
              <w:rPr>
                <w:rFonts w:cs="Arial"/>
                <w:b/>
                <w:bCs/>
                <w:color w:val="000000"/>
                <w:position w:val="-6"/>
                <w:szCs w:val="21"/>
                <w:lang w:val="en-US"/>
              </w:rPr>
            </w:pPr>
            <w:r w:rsidRPr="00E579CB">
              <w:rPr>
                <w:rFonts w:cs="Arial"/>
                <w:b/>
                <w:bCs/>
                <w:color w:val="000000"/>
                <w:position w:val="-6"/>
                <w:szCs w:val="21"/>
                <w:lang w:val="en-US"/>
              </w:rPr>
              <w:t>Notes</w:t>
            </w:r>
          </w:p>
        </w:tc>
        <w:tc>
          <w:tcPr>
            <w:tcW w:w="1385" w:type="dxa"/>
            <w:vAlign w:val="bottom"/>
          </w:tcPr>
          <w:p w:rsidR="00E579CB" w:rsidRPr="00E579CB" w:rsidRDefault="00E579CB" w:rsidP="00E579CB">
            <w:pPr>
              <w:spacing w:after="0"/>
              <w:jc w:val="center"/>
              <w:rPr>
                <w:rFonts w:cs="Arial"/>
                <w:b/>
                <w:bCs/>
                <w:color w:val="000000"/>
                <w:position w:val="-6"/>
                <w:szCs w:val="21"/>
                <w:lang w:val="en-US"/>
              </w:rPr>
            </w:pPr>
            <w:r w:rsidRPr="00E579CB">
              <w:rPr>
                <w:rFonts w:cs="Arial"/>
                <w:b/>
                <w:bCs/>
                <w:color w:val="000000"/>
                <w:position w:val="-6"/>
                <w:szCs w:val="21"/>
                <w:lang w:val="en-US"/>
              </w:rPr>
              <w:t>2019</w:t>
            </w:r>
          </w:p>
        </w:tc>
        <w:tc>
          <w:tcPr>
            <w:tcW w:w="1451" w:type="dxa"/>
            <w:vAlign w:val="bottom"/>
          </w:tcPr>
          <w:p w:rsidR="00E579CB" w:rsidRPr="00E579CB" w:rsidRDefault="00E579CB" w:rsidP="00E579CB">
            <w:pPr>
              <w:spacing w:after="0"/>
              <w:jc w:val="center"/>
              <w:rPr>
                <w:rFonts w:cs="Arial"/>
                <w:b/>
                <w:bCs/>
                <w:color w:val="000000"/>
                <w:position w:val="-6"/>
                <w:szCs w:val="21"/>
                <w:lang w:val="en-US"/>
              </w:rPr>
            </w:pPr>
            <w:r w:rsidRPr="00E579CB">
              <w:rPr>
                <w:rFonts w:cs="Arial"/>
                <w:b/>
                <w:bCs/>
                <w:color w:val="000000"/>
                <w:position w:val="-6"/>
                <w:szCs w:val="21"/>
                <w:lang w:val="en-US"/>
              </w:rPr>
              <w:t>2018</w:t>
            </w:r>
          </w:p>
        </w:tc>
      </w:tr>
      <w:tr w:rsidR="00E579CB" w:rsidRPr="00E579CB" w:rsidTr="00E579CB">
        <w:trPr>
          <w:trHeight w:val="255"/>
        </w:trPr>
        <w:tc>
          <w:tcPr>
            <w:tcW w:w="4820" w:type="dxa"/>
            <w:vMerge/>
            <w:shd w:val="clear" w:color="auto" w:fill="auto"/>
            <w:vAlign w:val="bottom"/>
          </w:tcPr>
          <w:p w:rsidR="00E579CB" w:rsidRPr="00E579CB" w:rsidRDefault="00E579CB" w:rsidP="00E579CB">
            <w:pPr>
              <w:spacing w:after="0"/>
              <w:jc w:val="right"/>
              <w:rPr>
                <w:rFonts w:cs="Arial"/>
                <w:color w:val="000000"/>
                <w:szCs w:val="21"/>
                <w:lang w:val="en-US"/>
              </w:rPr>
            </w:pPr>
          </w:p>
        </w:tc>
        <w:tc>
          <w:tcPr>
            <w:tcW w:w="883" w:type="dxa"/>
            <w:vAlign w:val="bottom"/>
          </w:tcPr>
          <w:p w:rsidR="00E579CB" w:rsidRPr="00E579CB" w:rsidRDefault="00E579CB" w:rsidP="00E579CB">
            <w:pPr>
              <w:spacing w:after="0"/>
              <w:jc w:val="center"/>
              <w:rPr>
                <w:rFonts w:cs="Arial"/>
                <w:b/>
                <w:bCs/>
                <w:color w:val="000000"/>
                <w:position w:val="-6"/>
                <w:szCs w:val="21"/>
                <w:lang w:val="en-US"/>
              </w:rPr>
            </w:pPr>
          </w:p>
        </w:tc>
        <w:tc>
          <w:tcPr>
            <w:tcW w:w="1385" w:type="dxa"/>
            <w:vAlign w:val="bottom"/>
          </w:tcPr>
          <w:p w:rsidR="00E579CB" w:rsidRPr="00E579CB" w:rsidRDefault="00E579CB" w:rsidP="00E579CB">
            <w:pPr>
              <w:spacing w:after="0"/>
              <w:jc w:val="center"/>
              <w:rPr>
                <w:rFonts w:cs="Arial"/>
                <w:b/>
                <w:bCs/>
                <w:color w:val="000000"/>
                <w:position w:val="-6"/>
                <w:szCs w:val="21"/>
                <w:lang w:val="en-US"/>
              </w:rPr>
            </w:pPr>
            <w:r w:rsidRPr="00E579CB">
              <w:rPr>
                <w:rFonts w:cs="Arial"/>
                <w:b/>
                <w:bCs/>
                <w:color w:val="000000"/>
                <w:position w:val="-6"/>
                <w:szCs w:val="21"/>
                <w:lang w:val="en-US"/>
              </w:rPr>
              <w:t>$</w:t>
            </w:r>
          </w:p>
        </w:tc>
        <w:tc>
          <w:tcPr>
            <w:tcW w:w="1451" w:type="dxa"/>
            <w:vAlign w:val="bottom"/>
          </w:tcPr>
          <w:p w:rsidR="00E579CB" w:rsidRPr="00E579CB" w:rsidRDefault="00E579CB" w:rsidP="00E579CB">
            <w:pPr>
              <w:spacing w:after="0"/>
              <w:jc w:val="center"/>
              <w:rPr>
                <w:rFonts w:cs="Arial"/>
                <w:b/>
                <w:bCs/>
                <w:color w:val="000000"/>
                <w:position w:val="-6"/>
                <w:szCs w:val="21"/>
                <w:lang w:val="en-US"/>
              </w:rPr>
            </w:pPr>
            <w:r w:rsidRPr="00E579CB">
              <w:rPr>
                <w:rFonts w:cs="Arial"/>
                <w:b/>
                <w:bCs/>
                <w:color w:val="000000"/>
                <w:position w:val="-6"/>
                <w:szCs w:val="21"/>
                <w:lang w:val="en-US"/>
              </w:rPr>
              <w:t>$</w:t>
            </w:r>
          </w:p>
        </w:tc>
      </w:tr>
      <w:tr w:rsidR="00E579CB" w:rsidRPr="00E579CB" w:rsidTr="00E579CB">
        <w:trPr>
          <w:trHeight w:val="255"/>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b/>
                <w:szCs w:val="21"/>
                <w:lang w:val="en-US"/>
              </w:rPr>
              <w:t>ASSETS</w:t>
            </w:r>
          </w:p>
        </w:tc>
        <w:tc>
          <w:tcPr>
            <w:tcW w:w="883" w:type="dxa"/>
            <w:vAlign w:val="bottom"/>
          </w:tcPr>
          <w:p w:rsidR="00E579CB" w:rsidRPr="00E579CB" w:rsidRDefault="00E579CB" w:rsidP="00E579CB">
            <w:pPr>
              <w:spacing w:after="0"/>
              <w:jc w:val="right"/>
              <w:rPr>
                <w:rFonts w:cs="Arial"/>
                <w:b/>
                <w:bCs/>
                <w:color w:val="000000"/>
                <w:position w:val="-6"/>
                <w:szCs w:val="21"/>
                <w:lang w:val="en-US"/>
              </w:rPr>
            </w:pPr>
          </w:p>
        </w:tc>
        <w:tc>
          <w:tcPr>
            <w:tcW w:w="1385" w:type="dxa"/>
            <w:vAlign w:val="bottom"/>
          </w:tcPr>
          <w:p w:rsidR="00E579CB" w:rsidRPr="00E579CB" w:rsidRDefault="00E579CB" w:rsidP="00E579CB">
            <w:pPr>
              <w:spacing w:after="0"/>
              <w:jc w:val="right"/>
              <w:rPr>
                <w:rFonts w:cs="Arial"/>
                <w:b/>
                <w:bCs/>
                <w:color w:val="000000"/>
                <w:position w:val="-6"/>
                <w:szCs w:val="21"/>
                <w:lang w:val="en-US"/>
              </w:rPr>
            </w:pPr>
          </w:p>
        </w:tc>
        <w:tc>
          <w:tcPr>
            <w:tcW w:w="1451" w:type="dxa"/>
            <w:vAlign w:val="bottom"/>
          </w:tcPr>
          <w:p w:rsidR="00E579CB" w:rsidRPr="00E579CB" w:rsidRDefault="00E579CB" w:rsidP="00E579CB">
            <w:pPr>
              <w:spacing w:after="0"/>
              <w:jc w:val="right"/>
              <w:rPr>
                <w:rFonts w:cs="Arial"/>
                <w:b/>
                <w:bCs/>
                <w:color w:val="000000"/>
                <w:position w:val="-6"/>
                <w:szCs w:val="21"/>
                <w:lang w:val="en-US"/>
              </w:rPr>
            </w:pPr>
          </w:p>
        </w:tc>
      </w:tr>
      <w:tr w:rsidR="00E579CB" w:rsidRPr="00E579CB" w:rsidTr="00E579CB">
        <w:trPr>
          <w:trHeight w:val="255"/>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b/>
                <w:szCs w:val="21"/>
                <w:lang w:val="en-US"/>
              </w:rPr>
              <w:t>Current assets</w:t>
            </w:r>
          </w:p>
        </w:tc>
        <w:tc>
          <w:tcPr>
            <w:tcW w:w="883" w:type="dxa"/>
            <w:vAlign w:val="bottom"/>
          </w:tcPr>
          <w:p w:rsidR="00E579CB" w:rsidRPr="00E579CB" w:rsidRDefault="00E579CB" w:rsidP="00E579CB">
            <w:pPr>
              <w:spacing w:after="0"/>
              <w:jc w:val="right"/>
              <w:rPr>
                <w:rFonts w:cs="Arial"/>
                <w:color w:val="000000"/>
                <w:position w:val="-6"/>
                <w:szCs w:val="21"/>
                <w:lang w:val="en-US"/>
              </w:rPr>
            </w:pPr>
          </w:p>
        </w:tc>
        <w:tc>
          <w:tcPr>
            <w:tcW w:w="1385" w:type="dxa"/>
            <w:vAlign w:val="bottom"/>
          </w:tcPr>
          <w:p w:rsidR="00E579CB" w:rsidRPr="00E579CB" w:rsidRDefault="00E579CB" w:rsidP="00E579CB">
            <w:pPr>
              <w:spacing w:after="0"/>
              <w:jc w:val="right"/>
              <w:rPr>
                <w:rFonts w:cs="Arial"/>
                <w:b/>
                <w:color w:val="000000"/>
                <w:position w:val="-6"/>
                <w:szCs w:val="21"/>
                <w:lang w:val="en-US"/>
              </w:rPr>
            </w:pPr>
          </w:p>
        </w:tc>
        <w:tc>
          <w:tcPr>
            <w:tcW w:w="1451" w:type="dxa"/>
            <w:vAlign w:val="bottom"/>
          </w:tcPr>
          <w:p w:rsidR="00E579CB" w:rsidRPr="00E579CB" w:rsidRDefault="00E579CB" w:rsidP="00E579CB">
            <w:pPr>
              <w:spacing w:after="0"/>
              <w:jc w:val="right"/>
              <w:rPr>
                <w:rFonts w:cs="Arial"/>
                <w:b/>
                <w:color w:val="000000"/>
                <w:position w:val="-6"/>
                <w:szCs w:val="21"/>
                <w:lang w:val="en-US"/>
              </w:rPr>
            </w:pPr>
          </w:p>
        </w:tc>
      </w:tr>
      <w:tr w:rsidR="00E579CB" w:rsidRPr="00E579CB" w:rsidTr="00E579CB">
        <w:trPr>
          <w:trHeight w:val="288"/>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Cash and cash equivalents</w:t>
            </w:r>
          </w:p>
        </w:tc>
        <w:tc>
          <w:tcPr>
            <w:tcW w:w="883" w:type="dxa"/>
            <w:vAlign w:val="bottom"/>
          </w:tcPr>
          <w:p w:rsidR="00E579CB" w:rsidRPr="00E579CB" w:rsidRDefault="00E579CB" w:rsidP="00E579CB">
            <w:pPr>
              <w:spacing w:after="0"/>
              <w:jc w:val="center"/>
              <w:rPr>
                <w:rFonts w:cs="Arial"/>
                <w:szCs w:val="21"/>
                <w:lang w:val="en-US"/>
              </w:rPr>
            </w:pPr>
            <w:r w:rsidRPr="00E579CB">
              <w:rPr>
                <w:rFonts w:cs="Arial"/>
                <w:szCs w:val="21"/>
                <w:lang w:val="en-US"/>
              </w:rPr>
              <w:t>3</w:t>
            </w:r>
          </w:p>
        </w:tc>
        <w:tc>
          <w:tcPr>
            <w:tcW w:w="1385" w:type="dxa"/>
            <w:vAlign w:val="bottom"/>
          </w:tcPr>
          <w:p w:rsidR="00E579CB" w:rsidRPr="00E579CB" w:rsidRDefault="00E579CB" w:rsidP="00E579CB">
            <w:pPr>
              <w:spacing w:after="0"/>
              <w:jc w:val="right"/>
              <w:rPr>
                <w:rFonts w:cs="Arial"/>
                <w:szCs w:val="21"/>
                <w:lang w:val="en-US"/>
              </w:rPr>
            </w:pPr>
            <w:r w:rsidRPr="00E579CB">
              <w:rPr>
                <w:rFonts w:cs="Arial"/>
                <w:szCs w:val="21"/>
                <w:lang w:val="en-US"/>
              </w:rPr>
              <w:t>3,262,870</w:t>
            </w:r>
          </w:p>
        </w:tc>
        <w:tc>
          <w:tcPr>
            <w:tcW w:w="1451" w:type="dxa"/>
            <w:vAlign w:val="bottom"/>
          </w:tcPr>
          <w:p w:rsidR="00E579CB" w:rsidRPr="00E579CB" w:rsidRDefault="00E579CB" w:rsidP="00E579CB">
            <w:pPr>
              <w:spacing w:after="0"/>
              <w:jc w:val="right"/>
              <w:rPr>
                <w:rFonts w:cs="Arial"/>
                <w:szCs w:val="21"/>
                <w:lang w:val="en-US"/>
              </w:rPr>
            </w:pPr>
            <w:r w:rsidRPr="00E579CB">
              <w:rPr>
                <w:rFonts w:cs="Arial"/>
                <w:szCs w:val="21"/>
                <w:lang w:val="en-US"/>
              </w:rPr>
              <w:t>1,981,472</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Receivables</w:t>
            </w:r>
          </w:p>
        </w:tc>
        <w:tc>
          <w:tcPr>
            <w:tcW w:w="883" w:type="dxa"/>
            <w:vAlign w:val="bottom"/>
          </w:tcPr>
          <w:p w:rsidR="00E579CB" w:rsidRPr="00E579CB" w:rsidRDefault="00E579CB" w:rsidP="00E579CB">
            <w:pPr>
              <w:spacing w:after="0"/>
              <w:jc w:val="center"/>
              <w:rPr>
                <w:rFonts w:cs="Arial"/>
                <w:szCs w:val="21"/>
                <w:lang w:val="en-US"/>
              </w:rPr>
            </w:pPr>
            <w:r w:rsidRPr="00E579CB">
              <w:rPr>
                <w:rFonts w:cs="Arial"/>
                <w:szCs w:val="21"/>
                <w:lang w:val="en-US"/>
              </w:rPr>
              <w:t>4</w:t>
            </w:r>
          </w:p>
        </w:tc>
        <w:tc>
          <w:tcPr>
            <w:tcW w:w="1385" w:type="dxa"/>
            <w:vAlign w:val="bottom"/>
          </w:tcPr>
          <w:p w:rsidR="00E579CB" w:rsidRPr="00E579CB" w:rsidRDefault="00E579CB" w:rsidP="00E579CB">
            <w:pPr>
              <w:spacing w:after="0"/>
              <w:jc w:val="right"/>
              <w:rPr>
                <w:rFonts w:cs="Arial"/>
                <w:szCs w:val="21"/>
                <w:lang w:val="en-US"/>
              </w:rPr>
            </w:pPr>
            <w:r w:rsidRPr="00E579CB">
              <w:rPr>
                <w:rFonts w:cs="Arial"/>
                <w:szCs w:val="21"/>
                <w:lang w:val="en-US"/>
              </w:rPr>
              <w:t>354,786</w:t>
            </w:r>
          </w:p>
        </w:tc>
        <w:tc>
          <w:tcPr>
            <w:tcW w:w="1451" w:type="dxa"/>
            <w:vAlign w:val="bottom"/>
          </w:tcPr>
          <w:p w:rsidR="00E579CB" w:rsidRPr="00E579CB" w:rsidRDefault="00E579CB" w:rsidP="00E579CB">
            <w:pPr>
              <w:spacing w:after="0"/>
              <w:jc w:val="right"/>
              <w:rPr>
                <w:rFonts w:cs="Arial"/>
                <w:szCs w:val="21"/>
                <w:lang w:val="en-US"/>
              </w:rPr>
            </w:pPr>
            <w:r w:rsidRPr="00E579CB">
              <w:rPr>
                <w:rFonts w:cs="Arial"/>
                <w:szCs w:val="21"/>
                <w:lang w:val="en-US"/>
              </w:rPr>
              <w:t>914,991</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Other assets</w:t>
            </w:r>
          </w:p>
        </w:tc>
        <w:tc>
          <w:tcPr>
            <w:tcW w:w="883" w:type="dxa"/>
            <w:vAlign w:val="bottom"/>
          </w:tcPr>
          <w:p w:rsidR="00E579CB" w:rsidRPr="00E579CB" w:rsidRDefault="00E579CB" w:rsidP="00E579CB">
            <w:pPr>
              <w:spacing w:after="0"/>
              <w:jc w:val="center"/>
              <w:rPr>
                <w:rFonts w:cs="Arial"/>
                <w:szCs w:val="21"/>
                <w:lang w:val="en-US"/>
              </w:rPr>
            </w:pPr>
            <w:r w:rsidRPr="00E579CB">
              <w:rPr>
                <w:rFonts w:cs="Arial"/>
                <w:szCs w:val="21"/>
                <w:lang w:val="en-US"/>
              </w:rPr>
              <w:t>5</w:t>
            </w:r>
          </w:p>
        </w:tc>
        <w:tc>
          <w:tcPr>
            <w:tcW w:w="1385" w:type="dxa"/>
            <w:tcBorders>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31,644</w:t>
            </w:r>
          </w:p>
        </w:tc>
        <w:tc>
          <w:tcPr>
            <w:tcW w:w="1451" w:type="dxa"/>
            <w:tcBorders>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20,419</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b/>
                <w:szCs w:val="21"/>
                <w:lang w:val="en-US"/>
              </w:rPr>
            </w:pPr>
            <w:r w:rsidRPr="00E579CB">
              <w:rPr>
                <w:rFonts w:cs="Arial"/>
                <w:b/>
                <w:szCs w:val="21"/>
                <w:lang w:val="en-US"/>
              </w:rPr>
              <w:t>Total current assets</w:t>
            </w:r>
          </w:p>
        </w:tc>
        <w:tc>
          <w:tcPr>
            <w:tcW w:w="883" w:type="dxa"/>
            <w:vAlign w:val="bottom"/>
          </w:tcPr>
          <w:p w:rsidR="00E579CB" w:rsidRPr="00E579CB" w:rsidRDefault="00E579CB" w:rsidP="00E579CB">
            <w:pPr>
              <w:spacing w:after="0"/>
              <w:jc w:val="right"/>
              <w:rPr>
                <w:rFonts w:cs="Arial"/>
                <w:b/>
                <w:szCs w:val="21"/>
                <w:lang w:val="en-US"/>
              </w:rPr>
            </w:pPr>
          </w:p>
        </w:tc>
        <w:tc>
          <w:tcPr>
            <w:tcW w:w="1385" w:type="dxa"/>
            <w:tcBorders>
              <w:top w:val="single" w:sz="4" w:space="0" w:color="auto"/>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3,649,300</w:t>
            </w:r>
          </w:p>
        </w:tc>
        <w:tc>
          <w:tcPr>
            <w:tcW w:w="1451" w:type="dxa"/>
            <w:tcBorders>
              <w:top w:val="single" w:sz="4" w:space="0" w:color="auto"/>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2,916,882</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p>
        </w:tc>
        <w:tc>
          <w:tcPr>
            <w:tcW w:w="883" w:type="dxa"/>
            <w:vAlign w:val="bottom"/>
          </w:tcPr>
          <w:p w:rsidR="00E579CB" w:rsidRPr="00E579CB" w:rsidRDefault="00E579CB" w:rsidP="00E579CB">
            <w:pPr>
              <w:spacing w:after="0"/>
              <w:rPr>
                <w:rFonts w:cs="Arial"/>
                <w:b/>
                <w:szCs w:val="21"/>
                <w:lang w:val="en-US"/>
              </w:rPr>
            </w:pPr>
          </w:p>
        </w:tc>
        <w:tc>
          <w:tcPr>
            <w:tcW w:w="1385" w:type="dxa"/>
            <w:tcBorders>
              <w:top w:val="single" w:sz="4" w:space="0" w:color="auto"/>
            </w:tcBorders>
            <w:vAlign w:val="bottom"/>
          </w:tcPr>
          <w:p w:rsidR="00E579CB" w:rsidRPr="00E579CB" w:rsidRDefault="00E579CB" w:rsidP="00E579CB">
            <w:pPr>
              <w:spacing w:after="0"/>
              <w:rPr>
                <w:rFonts w:cs="Arial"/>
                <w:b/>
                <w:szCs w:val="21"/>
                <w:highlight w:val="yellow"/>
                <w:lang w:val="en-US"/>
              </w:rPr>
            </w:pPr>
          </w:p>
        </w:tc>
        <w:tc>
          <w:tcPr>
            <w:tcW w:w="1451" w:type="dxa"/>
            <w:tcBorders>
              <w:top w:val="single" w:sz="4" w:space="0" w:color="auto"/>
            </w:tcBorders>
            <w:vAlign w:val="bottom"/>
          </w:tcPr>
          <w:p w:rsidR="00E579CB" w:rsidRPr="00E579CB" w:rsidRDefault="00E579CB" w:rsidP="00E579CB">
            <w:pPr>
              <w:spacing w:after="0"/>
              <w:rPr>
                <w:rFonts w:cs="Arial"/>
                <w:b/>
                <w:szCs w:val="21"/>
                <w:highlight w:val="yellow"/>
                <w:lang w:val="en-US"/>
              </w:rPr>
            </w:pP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b/>
                <w:szCs w:val="21"/>
                <w:lang w:val="en-US"/>
              </w:rPr>
              <w:t>Non-current assets</w:t>
            </w:r>
          </w:p>
        </w:tc>
        <w:tc>
          <w:tcPr>
            <w:tcW w:w="883" w:type="dxa"/>
            <w:vAlign w:val="bottom"/>
          </w:tcPr>
          <w:p w:rsidR="00E579CB" w:rsidRPr="00E579CB" w:rsidRDefault="00E579CB" w:rsidP="00E579CB">
            <w:pPr>
              <w:spacing w:after="0"/>
              <w:rPr>
                <w:rFonts w:cs="Arial"/>
                <w:b/>
                <w:szCs w:val="21"/>
                <w:lang w:val="en-US"/>
              </w:rPr>
            </w:pPr>
          </w:p>
        </w:tc>
        <w:tc>
          <w:tcPr>
            <w:tcW w:w="1385" w:type="dxa"/>
            <w:vAlign w:val="bottom"/>
          </w:tcPr>
          <w:p w:rsidR="00E579CB" w:rsidRPr="00E579CB" w:rsidRDefault="00E579CB" w:rsidP="00E579CB">
            <w:pPr>
              <w:spacing w:after="0"/>
              <w:rPr>
                <w:rFonts w:cs="Arial"/>
                <w:b/>
                <w:szCs w:val="21"/>
                <w:highlight w:val="yellow"/>
                <w:lang w:val="en-US"/>
              </w:rPr>
            </w:pPr>
          </w:p>
        </w:tc>
        <w:tc>
          <w:tcPr>
            <w:tcW w:w="1451" w:type="dxa"/>
            <w:vAlign w:val="bottom"/>
          </w:tcPr>
          <w:p w:rsidR="00E579CB" w:rsidRPr="00E579CB" w:rsidRDefault="00E579CB" w:rsidP="00E579CB">
            <w:pPr>
              <w:spacing w:after="0"/>
              <w:rPr>
                <w:rFonts w:cs="Arial"/>
                <w:b/>
                <w:szCs w:val="21"/>
                <w:highlight w:val="yellow"/>
                <w:lang w:val="en-US"/>
              </w:rPr>
            </w:pP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Property, plant &amp; equipment</w:t>
            </w:r>
          </w:p>
        </w:tc>
        <w:tc>
          <w:tcPr>
            <w:tcW w:w="883" w:type="dxa"/>
            <w:vAlign w:val="bottom"/>
          </w:tcPr>
          <w:p w:rsidR="00E579CB" w:rsidRPr="00E579CB" w:rsidRDefault="00E579CB" w:rsidP="00E579CB">
            <w:pPr>
              <w:spacing w:after="0"/>
              <w:jc w:val="center"/>
              <w:rPr>
                <w:rFonts w:cs="Arial"/>
                <w:szCs w:val="21"/>
                <w:highlight w:val="yellow"/>
                <w:lang w:val="en-US"/>
              </w:rPr>
            </w:pPr>
            <w:r w:rsidRPr="00E579CB">
              <w:rPr>
                <w:rFonts w:cs="Arial"/>
                <w:szCs w:val="21"/>
                <w:lang w:val="en-US"/>
              </w:rPr>
              <w:t>6</w:t>
            </w:r>
          </w:p>
        </w:tc>
        <w:tc>
          <w:tcPr>
            <w:tcW w:w="1385" w:type="dxa"/>
            <w:vAlign w:val="bottom"/>
          </w:tcPr>
          <w:p w:rsidR="00E579CB" w:rsidRPr="00E579CB" w:rsidRDefault="00E579CB" w:rsidP="00E579CB">
            <w:pPr>
              <w:spacing w:after="0"/>
              <w:jc w:val="right"/>
              <w:rPr>
                <w:rFonts w:cs="Arial"/>
                <w:szCs w:val="21"/>
                <w:lang w:val="en-US"/>
              </w:rPr>
            </w:pPr>
            <w:r w:rsidRPr="00E579CB">
              <w:rPr>
                <w:rFonts w:cs="Arial"/>
                <w:szCs w:val="21"/>
                <w:lang w:val="en-US"/>
              </w:rPr>
              <w:t>283,939</w:t>
            </w:r>
          </w:p>
        </w:tc>
        <w:tc>
          <w:tcPr>
            <w:tcW w:w="1451" w:type="dxa"/>
            <w:vAlign w:val="bottom"/>
          </w:tcPr>
          <w:p w:rsidR="00E579CB" w:rsidRPr="00E579CB" w:rsidRDefault="00E579CB" w:rsidP="00E579CB">
            <w:pPr>
              <w:spacing w:after="0"/>
              <w:jc w:val="right"/>
              <w:rPr>
                <w:rFonts w:cs="Arial"/>
                <w:szCs w:val="21"/>
                <w:highlight w:val="yellow"/>
                <w:lang w:val="en-US"/>
              </w:rPr>
            </w:pPr>
            <w:r w:rsidRPr="00E579CB">
              <w:rPr>
                <w:rFonts w:cs="Arial"/>
                <w:szCs w:val="21"/>
                <w:lang w:val="en-US"/>
              </w:rPr>
              <w:t>83,713</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Intangible assets</w:t>
            </w:r>
          </w:p>
        </w:tc>
        <w:tc>
          <w:tcPr>
            <w:tcW w:w="883" w:type="dxa"/>
            <w:vAlign w:val="bottom"/>
          </w:tcPr>
          <w:p w:rsidR="00E579CB" w:rsidRPr="00E579CB" w:rsidRDefault="00E579CB" w:rsidP="00E579CB">
            <w:pPr>
              <w:spacing w:after="0"/>
              <w:jc w:val="center"/>
              <w:rPr>
                <w:rFonts w:cs="Arial"/>
                <w:szCs w:val="21"/>
                <w:lang w:val="en-US"/>
              </w:rPr>
            </w:pPr>
            <w:r w:rsidRPr="00E579CB">
              <w:rPr>
                <w:rFonts w:cs="Arial"/>
                <w:szCs w:val="21"/>
                <w:lang w:val="en-US"/>
              </w:rPr>
              <w:t>7</w:t>
            </w:r>
          </w:p>
        </w:tc>
        <w:tc>
          <w:tcPr>
            <w:tcW w:w="1385" w:type="dxa"/>
            <w:vAlign w:val="bottom"/>
          </w:tcPr>
          <w:p w:rsidR="00E579CB" w:rsidRPr="00E579CB" w:rsidRDefault="00E579CB" w:rsidP="00E579CB">
            <w:pPr>
              <w:spacing w:after="0"/>
              <w:jc w:val="right"/>
              <w:rPr>
                <w:rFonts w:cs="Arial"/>
                <w:szCs w:val="21"/>
                <w:lang w:val="en-US"/>
              </w:rPr>
            </w:pPr>
            <w:r w:rsidRPr="00E579CB">
              <w:rPr>
                <w:rFonts w:cs="Arial"/>
                <w:szCs w:val="21"/>
                <w:lang w:val="en-US"/>
              </w:rPr>
              <w:t>5,378</w:t>
            </w:r>
          </w:p>
        </w:tc>
        <w:tc>
          <w:tcPr>
            <w:tcW w:w="1451" w:type="dxa"/>
            <w:vAlign w:val="bottom"/>
          </w:tcPr>
          <w:p w:rsidR="00E579CB" w:rsidRPr="00E579CB" w:rsidRDefault="00E579CB" w:rsidP="00E579CB">
            <w:pPr>
              <w:spacing w:after="0"/>
              <w:jc w:val="right"/>
              <w:rPr>
                <w:rFonts w:cs="Arial"/>
                <w:szCs w:val="21"/>
                <w:lang w:val="en-US"/>
              </w:rPr>
            </w:pPr>
            <w:r w:rsidRPr="00E579CB">
              <w:rPr>
                <w:rFonts w:cs="Arial"/>
                <w:szCs w:val="21"/>
                <w:lang w:val="en-US"/>
              </w:rPr>
              <w:t>962</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b/>
                <w:bCs/>
                <w:szCs w:val="21"/>
                <w:lang w:val="en-US"/>
              </w:rPr>
            </w:pPr>
            <w:r w:rsidRPr="00E579CB">
              <w:rPr>
                <w:rFonts w:cs="Arial"/>
                <w:b/>
                <w:bCs/>
                <w:szCs w:val="21"/>
                <w:lang w:val="en-US"/>
              </w:rPr>
              <w:t>Total non-current assets</w:t>
            </w:r>
          </w:p>
        </w:tc>
        <w:tc>
          <w:tcPr>
            <w:tcW w:w="883" w:type="dxa"/>
            <w:vAlign w:val="bottom"/>
          </w:tcPr>
          <w:p w:rsidR="00E579CB" w:rsidRPr="00E579CB" w:rsidRDefault="00E579CB" w:rsidP="00E579CB">
            <w:pPr>
              <w:spacing w:after="0"/>
              <w:jc w:val="right"/>
              <w:rPr>
                <w:rFonts w:cs="Arial"/>
                <w:b/>
                <w:szCs w:val="21"/>
                <w:highlight w:val="yellow"/>
                <w:lang w:val="en-US"/>
              </w:rPr>
            </w:pPr>
          </w:p>
        </w:tc>
        <w:tc>
          <w:tcPr>
            <w:tcW w:w="1385" w:type="dxa"/>
            <w:tcBorders>
              <w:top w:val="single" w:sz="4" w:space="0" w:color="auto"/>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289,317</w:t>
            </w:r>
          </w:p>
        </w:tc>
        <w:tc>
          <w:tcPr>
            <w:tcW w:w="1451" w:type="dxa"/>
            <w:tcBorders>
              <w:top w:val="single" w:sz="4" w:space="0" w:color="auto"/>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84,675</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b/>
                <w:bCs/>
                <w:szCs w:val="21"/>
                <w:lang w:val="en-US"/>
              </w:rPr>
              <w:t>Total assets</w:t>
            </w:r>
          </w:p>
        </w:tc>
        <w:tc>
          <w:tcPr>
            <w:tcW w:w="883" w:type="dxa"/>
            <w:vAlign w:val="bottom"/>
          </w:tcPr>
          <w:p w:rsidR="00E579CB" w:rsidRPr="00E579CB" w:rsidRDefault="00E579CB" w:rsidP="00E579CB">
            <w:pPr>
              <w:spacing w:after="0"/>
              <w:jc w:val="right"/>
              <w:rPr>
                <w:rFonts w:cs="Arial"/>
                <w:b/>
                <w:szCs w:val="21"/>
                <w:highlight w:val="yellow"/>
                <w:lang w:val="en-US"/>
              </w:rPr>
            </w:pPr>
          </w:p>
        </w:tc>
        <w:tc>
          <w:tcPr>
            <w:tcW w:w="1385" w:type="dxa"/>
            <w:tcBorders>
              <w:top w:val="single" w:sz="4" w:space="0" w:color="auto"/>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3,938,617</w:t>
            </w:r>
          </w:p>
        </w:tc>
        <w:tc>
          <w:tcPr>
            <w:tcW w:w="1451" w:type="dxa"/>
            <w:tcBorders>
              <w:top w:val="single" w:sz="4" w:space="0" w:color="auto"/>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3,001,557</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p>
        </w:tc>
        <w:tc>
          <w:tcPr>
            <w:tcW w:w="883" w:type="dxa"/>
            <w:vAlign w:val="bottom"/>
          </w:tcPr>
          <w:p w:rsidR="00E579CB" w:rsidRPr="00E579CB" w:rsidRDefault="00E579CB" w:rsidP="00E579CB">
            <w:pPr>
              <w:spacing w:after="0"/>
              <w:rPr>
                <w:rFonts w:cs="Arial"/>
                <w:b/>
                <w:szCs w:val="21"/>
                <w:highlight w:val="yellow"/>
                <w:lang w:val="en-US"/>
              </w:rPr>
            </w:pPr>
          </w:p>
        </w:tc>
        <w:tc>
          <w:tcPr>
            <w:tcW w:w="1385" w:type="dxa"/>
            <w:tcBorders>
              <w:top w:val="single" w:sz="4" w:space="0" w:color="auto"/>
            </w:tcBorders>
            <w:vAlign w:val="bottom"/>
          </w:tcPr>
          <w:p w:rsidR="00E579CB" w:rsidRPr="00E579CB" w:rsidRDefault="00E579CB" w:rsidP="00E579CB">
            <w:pPr>
              <w:spacing w:after="0"/>
              <w:rPr>
                <w:rFonts w:cs="Arial"/>
                <w:b/>
                <w:szCs w:val="21"/>
                <w:highlight w:val="yellow"/>
                <w:lang w:val="en-US"/>
              </w:rPr>
            </w:pPr>
          </w:p>
        </w:tc>
        <w:tc>
          <w:tcPr>
            <w:tcW w:w="1451" w:type="dxa"/>
            <w:tcBorders>
              <w:top w:val="single" w:sz="4" w:space="0" w:color="auto"/>
            </w:tcBorders>
            <w:vAlign w:val="bottom"/>
          </w:tcPr>
          <w:p w:rsidR="00E579CB" w:rsidRPr="00E579CB" w:rsidRDefault="00E579CB" w:rsidP="00E579CB">
            <w:pPr>
              <w:spacing w:after="0"/>
              <w:rPr>
                <w:rFonts w:cs="Arial"/>
                <w:b/>
                <w:szCs w:val="21"/>
                <w:highlight w:val="yellow"/>
                <w:lang w:val="en-US"/>
              </w:rPr>
            </w:pP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b/>
                <w:szCs w:val="21"/>
                <w:lang w:val="en-US"/>
              </w:rPr>
            </w:pPr>
            <w:r w:rsidRPr="00E579CB">
              <w:rPr>
                <w:rFonts w:cs="Arial"/>
                <w:b/>
                <w:szCs w:val="21"/>
                <w:lang w:val="en-US"/>
              </w:rPr>
              <w:t>LIABILITIES</w:t>
            </w:r>
          </w:p>
        </w:tc>
        <w:tc>
          <w:tcPr>
            <w:tcW w:w="883" w:type="dxa"/>
            <w:vAlign w:val="bottom"/>
          </w:tcPr>
          <w:p w:rsidR="00E579CB" w:rsidRPr="00E579CB" w:rsidRDefault="00E579CB" w:rsidP="00E579CB">
            <w:pPr>
              <w:spacing w:after="0"/>
              <w:rPr>
                <w:rFonts w:cs="Arial"/>
                <w:b/>
                <w:szCs w:val="21"/>
                <w:highlight w:val="yellow"/>
                <w:lang w:val="en-US"/>
              </w:rPr>
            </w:pPr>
          </w:p>
        </w:tc>
        <w:tc>
          <w:tcPr>
            <w:tcW w:w="1385" w:type="dxa"/>
            <w:vAlign w:val="bottom"/>
          </w:tcPr>
          <w:p w:rsidR="00E579CB" w:rsidRPr="00E579CB" w:rsidRDefault="00E579CB" w:rsidP="00E579CB">
            <w:pPr>
              <w:spacing w:after="0"/>
              <w:rPr>
                <w:rFonts w:cs="Arial"/>
                <w:b/>
                <w:szCs w:val="21"/>
                <w:highlight w:val="yellow"/>
                <w:lang w:val="en-US"/>
              </w:rPr>
            </w:pPr>
          </w:p>
        </w:tc>
        <w:tc>
          <w:tcPr>
            <w:tcW w:w="1451" w:type="dxa"/>
            <w:vAlign w:val="bottom"/>
          </w:tcPr>
          <w:p w:rsidR="00E579CB" w:rsidRPr="00E579CB" w:rsidRDefault="00E579CB" w:rsidP="00E579CB">
            <w:pPr>
              <w:spacing w:after="0"/>
              <w:rPr>
                <w:rFonts w:cs="Arial"/>
                <w:b/>
                <w:szCs w:val="21"/>
                <w:highlight w:val="yellow"/>
                <w:lang w:val="en-US"/>
              </w:rPr>
            </w:pP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b/>
                <w:szCs w:val="21"/>
                <w:lang w:val="en-US"/>
              </w:rPr>
            </w:pPr>
            <w:r w:rsidRPr="00E579CB">
              <w:rPr>
                <w:rFonts w:cs="Arial"/>
                <w:b/>
                <w:szCs w:val="21"/>
                <w:lang w:val="en-US"/>
              </w:rPr>
              <w:t>Current liabilities</w:t>
            </w:r>
          </w:p>
        </w:tc>
        <w:tc>
          <w:tcPr>
            <w:tcW w:w="883" w:type="dxa"/>
            <w:vAlign w:val="bottom"/>
          </w:tcPr>
          <w:p w:rsidR="00E579CB" w:rsidRPr="00E579CB" w:rsidRDefault="00E579CB" w:rsidP="00E579CB">
            <w:pPr>
              <w:spacing w:after="0"/>
              <w:rPr>
                <w:rFonts w:cs="Arial"/>
                <w:b/>
                <w:szCs w:val="21"/>
                <w:highlight w:val="yellow"/>
                <w:lang w:val="en-US"/>
              </w:rPr>
            </w:pPr>
          </w:p>
        </w:tc>
        <w:tc>
          <w:tcPr>
            <w:tcW w:w="1385" w:type="dxa"/>
            <w:vAlign w:val="bottom"/>
          </w:tcPr>
          <w:p w:rsidR="00E579CB" w:rsidRPr="00E579CB" w:rsidRDefault="00E579CB" w:rsidP="00E579CB">
            <w:pPr>
              <w:spacing w:after="0"/>
              <w:rPr>
                <w:rFonts w:cs="Arial"/>
                <w:b/>
                <w:szCs w:val="21"/>
                <w:highlight w:val="yellow"/>
                <w:lang w:val="en-US"/>
              </w:rPr>
            </w:pPr>
          </w:p>
        </w:tc>
        <w:tc>
          <w:tcPr>
            <w:tcW w:w="1451" w:type="dxa"/>
            <w:vAlign w:val="bottom"/>
          </w:tcPr>
          <w:p w:rsidR="00E579CB" w:rsidRPr="00E579CB" w:rsidRDefault="00E579CB" w:rsidP="00E579CB">
            <w:pPr>
              <w:spacing w:after="0"/>
              <w:rPr>
                <w:rFonts w:cs="Arial"/>
                <w:b/>
                <w:szCs w:val="21"/>
                <w:highlight w:val="yellow"/>
                <w:lang w:val="en-US"/>
              </w:rPr>
            </w:pP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Payables</w:t>
            </w:r>
          </w:p>
        </w:tc>
        <w:tc>
          <w:tcPr>
            <w:tcW w:w="883" w:type="dxa"/>
            <w:vAlign w:val="bottom"/>
          </w:tcPr>
          <w:p w:rsidR="00E579CB" w:rsidRPr="00E579CB" w:rsidRDefault="00E579CB" w:rsidP="00E579CB">
            <w:pPr>
              <w:spacing w:after="0"/>
              <w:jc w:val="center"/>
              <w:rPr>
                <w:rFonts w:cs="Arial"/>
                <w:szCs w:val="21"/>
                <w:highlight w:val="yellow"/>
                <w:lang w:val="en-US"/>
              </w:rPr>
            </w:pPr>
            <w:r w:rsidRPr="00E579CB">
              <w:rPr>
                <w:rFonts w:cs="Arial"/>
                <w:szCs w:val="21"/>
                <w:lang w:val="en-US"/>
              </w:rPr>
              <w:t>8</w:t>
            </w:r>
          </w:p>
        </w:tc>
        <w:tc>
          <w:tcPr>
            <w:tcW w:w="1385" w:type="dxa"/>
            <w:vAlign w:val="bottom"/>
          </w:tcPr>
          <w:p w:rsidR="00E579CB" w:rsidRPr="00E579CB" w:rsidRDefault="00E579CB" w:rsidP="00E579CB">
            <w:pPr>
              <w:spacing w:after="0"/>
              <w:jc w:val="right"/>
              <w:rPr>
                <w:rFonts w:cs="Arial"/>
                <w:szCs w:val="21"/>
                <w:lang w:val="en-US"/>
              </w:rPr>
            </w:pPr>
            <w:r w:rsidRPr="00E579CB">
              <w:rPr>
                <w:rFonts w:cs="Arial"/>
                <w:szCs w:val="21"/>
                <w:lang w:val="en-US"/>
              </w:rPr>
              <w:t>585,048</w:t>
            </w:r>
          </w:p>
        </w:tc>
        <w:tc>
          <w:tcPr>
            <w:tcW w:w="1451" w:type="dxa"/>
            <w:vAlign w:val="bottom"/>
          </w:tcPr>
          <w:p w:rsidR="00E579CB" w:rsidRPr="00E579CB" w:rsidRDefault="00E579CB" w:rsidP="00E579CB">
            <w:pPr>
              <w:spacing w:after="0"/>
              <w:jc w:val="right"/>
              <w:rPr>
                <w:rFonts w:cs="Arial"/>
                <w:szCs w:val="21"/>
                <w:lang w:val="en-US"/>
              </w:rPr>
            </w:pPr>
            <w:r w:rsidRPr="00E579CB">
              <w:rPr>
                <w:rFonts w:cs="Arial"/>
                <w:szCs w:val="21"/>
                <w:lang w:val="en-US"/>
              </w:rPr>
              <w:t>282,135</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Employee provisions</w:t>
            </w:r>
          </w:p>
        </w:tc>
        <w:tc>
          <w:tcPr>
            <w:tcW w:w="883" w:type="dxa"/>
            <w:vAlign w:val="bottom"/>
          </w:tcPr>
          <w:p w:rsidR="00E579CB" w:rsidRPr="00E579CB" w:rsidRDefault="00E579CB" w:rsidP="00E579CB">
            <w:pPr>
              <w:spacing w:after="0"/>
              <w:jc w:val="center"/>
              <w:rPr>
                <w:rFonts w:cs="Arial"/>
                <w:szCs w:val="21"/>
                <w:lang w:val="en-US"/>
              </w:rPr>
            </w:pPr>
            <w:r w:rsidRPr="00E579CB">
              <w:rPr>
                <w:rFonts w:cs="Arial"/>
                <w:szCs w:val="21"/>
                <w:lang w:val="en-US"/>
              </w:rPr>
              <w:t>9</w:t>
            </w:r>
          </w:p>
        </w:tc>
        <w:tc>
          <w:tcPr>
            <w:tcW w:w="1385" w:type="dxa"/>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267,080</w:t>
            </w:r>
          </w:p>
        </w:tc>
        <w:tc>
          <w:tcPr>
            <w:tcW w:w="1451" w:type="dxa"/>
            <w:vAlign w:val="center"/>
          </w:tcPr>
          <w:p w:rsidR="00E579CB" w:rsidRPr="00E579CB" w:rsidRDefault="00E579CB" w:rsidP="00E579CB">
            <w:pPr>
              <w:spacing w:after="0"/>
              <w:jc w:val="right"/>
              <w:rPr>
                <w:rFonts w:cs="Arial"/>
                <w:szCs w:val="21"/>
                <w:lang w:val="en-US"/>
              </w:rPr>
            </w:pPr>
            <w:r w:rsidRPr="00E579CB">
              <w:rPr>
                <w:rFonts w:cs="Arial"/>
                <w:color w:val="000000"/>
                <w:szCs w:val="21"/>
                <w:lang w:val="en-US"/>
              </w:rPr>
              <w:t>175,684</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Deferred revenue</w:t>
            </w:r>
          </w:p>
        </w:tc>
        <w:tc>
          <w:tcPr>
            <w:tcW w:w="883" w:type="dxa"/>
            <w:vAlign w:val="bottom"/>
          </w:tcPr>
          <w:p w:rsidR="00E579CB" w:rsidRPr="00E579CB" w:rsidRDefault="00E579CB" w:rsidP="00E579CB">
            <w:pPr>
              <w:spacing w:after="0"/>
              <w:jc w:val="center"/>
              <w:rPr>
                <w:rFonts w:cs="Arial"/>
                <w:szCs w:val="21"/>
                <w:lang w:val="en-US"/>
              </w:rPr>
            </w:pPr>
            <w:r w:rsidRPr="00E579CB">
              <w:rPr>
                <w:rFonts w:cs="Arial"/>
                <w:szCs w:val="21"/>
                <w:lang w:val="en-US"/>
              </w:rPr>
              <w:t>10</w:t>
            </w:r>
          </w:p>
        </w:tc>
        <w:tc>
          <w:tcPr>
            <w:tcW w:w="1385" w:type="dxa"/>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540,101</w:t>
            </w:r>
          </w:p>
        </w:tc>
        <w:tc>
          <w:tcPr>
            <w:tcW w:w="1451" w:type="dxa"/>
            <w:vAlign w:val="center"/>
          </w:tcPr>
          <w:p w:rsidR="00E579CB" w:rsidRPr="00E579CB" w:rsidRDefault="00E579CB" w:rsidP="00E579CB">
            <w:pPr>
              <w:spacing w:after="0"/>
              <w:jc w:val="right"/>
              <w:rPr>
                <w:rFonts w:cs="Arial"/>
                <w:color w:val="000000"/>
                <w:szCs w:val="21"/>
                <w:lang w:val="en-US"/>
              </w:rPr>
            </w:pPr>
            <w:r w:rsidRPr="00E579CB">
              <w:rPr>
                <w:rFonts w:cs="Arial"/>
                <w:color w:val="000000"/>
                <w:szCs w:val="21"/>
                <w:lang w:val="en-US"/>
              </w:rPr>
              <w:t>-</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Other current liabilities</w:t>
            </w:r>
          </w:p>
        </w:tc>
        <w:tc>
          <w:tcPr>
            <w:tcW w:w="883" w:type="dxa"/>
            <w:vAlign w:val="bottom"/>
          </w:tcPr>
          <w:p w:rsidR="00E579CB" w:rsidRPr="00E579CB" w:rsidRDefault="00E579CB" w:rsidP="00E579CB">
            <w:pPr>
              <w:spacing w:after="0"/>
              <w:jc w:val="center"/>
              <w:rPr>
                <w:rFonts w:cs="Arial"/>
                <w:szCs w:val="21"/>
                <w:lang w:val="en-US"/>
              </w:rPr>
            </w:pPr>
            <w:r w:rsidRPr="00E579CB">
              <w:rPr>
                <w:rFonts w:cs="Arial"/>
                <w:szCs w:val="21"/>
                <w:lang w:val="en-US"/>
              </w:rPr>
              <w:t>11</w:t>
            </w:r>
          </w:p>
        </w:tc>
        <w:tc>
          <w:tcPr>
            <w:tcW w:w="1385" w:type="dxa"/>
            <w:tcBorders>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3,400</w:t>
            </w:r>
          </w:p>
        </w:tc>
        <w:tc>
          <w:tcPr>
            <w:tcW w:w="1451" w:type="dxa"/>
            <w:tcBorders>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5,400</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b/>
                <w:szCs w:val="21"/>
                <w:lang w:val="en-US"/>
              </w:rPr>
              <w:t>Total current liabilities</w:t>
            </w:r>
          </w:p>
        </w:tc>
        <w:tc>
          <w:tcPr>
            <w:tcW w:w="883" w:type="dxa"/>
            <w:vAlign w:val="bottom"/>
          </w:tcPr>
          <w:p w:rsidR="00E579CB" w:rsidRPr="00E579CB" w:rsidRDefault="00E579CB" w:rsidP="00E579CB">
            <w:pPr>
              <w:spacing w:after="0"/>
              <w:jc w:val="center"/>
              <w:rPr>
                <w:rFonts w:cs="Arial"/>
                <w:b/>
                <w:szCs w:val="21"/>
                <w:lang w:val="en-US"/>
              </w:rPr>
            </w:pPr>
          </w:p>
        </w:tc>
        <w:tc>
          <w:tcPr>
            <w:tcW w:w="1385" w:type="dxa"/>
            <w:tcBorders>
              <w:top w:val="single" w:sz="4" w:space="0" w:color="auto"/>
              <w:bottom w:val="single" w:sz="4" w:space="0" w:color="auto"/>
            </w:tcBorders>
            <w:vAlign w:val="center"/>
          </w:tcPr>
          <w:p w:rsidR="00E579CB" w:rsidRPr="00E579CB" w:rsidRDefault="00E579CB" w:rsidP="00E579CB">
            <w:pPr>
              <w:spacing w:after="0"/>
              <w:jc w:val="right"/>
              <w:rPr>
                <w:rFonts w:cs="Arial"/>
                <w:szCs w:val="21"/>
                <w:lang w:val="en-US"/>
              </w:rPr>
            </w:pPr>
            <w:r w:rsidRPr="00E579CB">
              <w:rPr>
                <w:rFonts w:cs="Arial"/>
                <w:szCs w:val="21"/>
                <w:lang w:val="en-US"/>
              </w:rPr>
              <w:t>1,395,629</w:t>
            </w:r>
          </w:p>
        </w:tc>
        <w:tc>
          <w:tcPr>
            <w:tcW w:w="1451" w:type="dxa"/>
            <w:tcBorders>
              <w:top w:val="single" w:sz="4" w:space="0" w:color="auto"/>
              <w:bottom w:val="single" w:sz="4" w:space="0" w:color="auto"/>
            </w:tcBorders>
            <w:vAlign w:val="center"/>
          </w:tcPr>
          <w:p w:rsidR="00E579CB" w:rsidRPr="00E579CB" w:rsidRDefault="00E579CB" w:rsidP="00E579CB">
            <w:pPr>
              <w:spacing w:after="0"/>
              <w:jc w:val="right"/>
              <w:rPr>
                <w:rFonts w:cs="Arial"/>
                <w:szCs w:val="21"/>
                <w:lang w:val="en-US"/>
              </w:rPr>
            </w:pPr>
            <w:r w:rsidRPr="00E579CB">
              <w:rPr>
                <w:rFonts w:cs="Arial"/>
                <w:szCs w:val="21"/>
                <w:lang w:val="en-US"/>
              </w:rPr>
              <w:t>463,219</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b/>
                <w:szCs w:val="21"/>
                <w:lang w:val="en-US"/>
              </w:rPr>
            </w:pPr>
          </w:p>
        </w:tc>
        <w:tc>
          <w:tcPr>
            <w:tcW w:w="883" w:type="dxa"/>
            <w:vAlign w:val="bottom"/>
          </w:tcPr>
          <w:p w:rsidR="00E579CB" w:rsidRPr="00E579CB" w:rsidRDefault="00E579CB" w:rsidP="00E579CB">
            <w:pPr>
              <w:spacing w:after="0"/>
              <w:jc w:val="right"/>
              <w:rPr>
                <w:rFonts w:cs="Arial"/>
                <w:b/>
                <w:szCs w:val="21"/>
                <w:highlight w:val="yellow"/>
                <w:lang w:val="en-US"/>
              </w:rPr>
            </w:pPr>
          </w:p>
        </w:tc>
        <w:tc>
          <w:tcPr>
            <w:tcW w:w="1385" w:type="dxa"/>
            <w:tcBorders>
              <w:top w:val="single" w:sz="4" w:space="0" w:color="auto"/>
            </w:tcBorders>
            <w:vAlign w:val="bottom"/>
          </w:tcPr>
          <w:p w:rsidR="00E579CB" w:rsidRPr="00E579CB" w:rsidRDefault="00E579CB" w:rsidP="00E579CB">
            <w:pPr>
              <w:spacing w:after="0"/>
              <w:jc w:val="right"/>
              <w:rPr>
                <w:rFonts w:cs="Arial"/>
                <w:b/>
                <w:i/>
                <w:szCs w:val="21"/>
                <w:highlight w:val="yellow"/>
                <w:lang w:val="en-US"/>
              </w:rPr>
            </w:pPr>
          </w:p>
        </w:tc>
        <w:tc>
          <w:tcPr>
            <w:tcW w:w="1451" w:type="dxa"/>
            <w:tcBorders>
              <w:top w:val="single" w:sz="4" w:space="0" w:color="auto"/>
            </w:tcBorders>
            <w:vAlign w:val="bottom"/>
          </w:tcPr>
          <w:p w:rsidR="00E579CB" w:rsidRPr="00E579CB" w:rsidRDefault="00E579CB" w:rsidP="00E579CB">
            <w:pPr>
              <w:spacing w:after="0"/>
              <w:jc w:val="right"/>
              <w:rPr>
                <w:rFonts w:cs="Arial"/>
                <w:b/>
                <w:i/>
                <w:szCs w:val="21"/>
                <w:highlight w:val="yellow"/>
                <w:lang w:val="en-US"/>
              </w:rPr>
            </w:pP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b/>
                <w:szCs w:val="21"/>
                <w:lang w:val="en-US"/>
              </w:rPr>
              <w:t>Non-current liabilities</w:t>
            </w:r>
          </w:p>
        </w:tc>
        <w:tc>
          <w:tcPr>
            <w:tcW w:w="883" w:type="dxa"/>
            <w:vAlign w:val="bottom"/>
          </w:tcPr>
          <w:p w:rsidR="00E579CB" w:rsidRPr="00E579CB" w:rsidRDefault="00E579CB" w:rsidP="00E579CB">
            <w:pPr>
              <w:spacing w:after="0"/>
              <w:rPr>
                <w:rFonts w:cs="Arial"/>
                <w:b/>
                <w:szCs w:val="21"/>
                <w:highlight w:val="yellow"/>
                <w:lang w:val="en-US"/>
              </w:rPr>
            </w:pPr>
          </w:p>
        </w:tc>
        <w:tc>
          <w:tcPr>
            <w:tcW w:w="1385" w:type="dxa"/>
            <w:vAlign w:val="bottom"/>
          </w:tcPr>
          <w:p w:rsidR="00E579CB" w:rsidRPr="00E579CB" w:rsidRDefault="00E579CB" w:rsidP="00E579CB">
            <w:pPr>
              <w:spacing w:after="0"/>
              <w:rPr>
                <w:rFonts w:cs="Arial"/>
                <w:b/>
                <w:szCs w:val="21"/>
                <w:highlight w:val="yellow"/>
                <w:lang w:val="en-US"/>
              </w:rPr>
            </w:pPr>
          </w:p>
        </w:tc>
        <w:tc>
          <w:tcPr>
            <w:tcW w:w="1451" w:type="dxa"/>
            <w:vAlign w:val="bottom"/>
          </w:tcPr>
          <w:p w:rsidR="00E579CB" w:rsidRPr="00E579CB" w:rsidRDefault="00E579CB" w:rsidP="00E579CB">
            <w:pPr>
              <w:spacing w:after="0"/>
              <w:rPr>
                <w:rFonts w:cs="Arial"/>
                <w:b/>
                <w:szCs w:val="21"/>
                <w:highlight w:val="yellow"/>
                <w:lang w:val="en-US"/>
              </w:rPr>
            </w:pP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Employee provisions</w:t>
            </w:r>
          </w:p>
        </w:tc>
        <w:tc>
          <w:tcPr>
            <w:tcW w:w="883" w:type="dxa"/>
            <w:vAlign w:val="bottom"/>
          </w:tcPr>
          <w:p w:rsidR="00E579CB" w:rsidRPr="00E579CB" w:rsidRDefault="00E579CB" w:rsidP="00E579CB">
            <w:pPr>
              <w:spacing w:after="0"/>
              <w:jc w:val="center"/>
              <w:rPr>
                <w:rFonts w:cs="Arial"/>
                <w:szCs w:val="21"/>
                <w:lang w:val="en-US"/>
              </w:rPr>
            </w:pPr>
            <w:r w:rsidRPr="00E579CB">
              <w:rPr>
                <w:rFonts w:cs="Arial"/>
                <w:szCs w:val="21"/>
                <w:lang w:val="en-US"/>
              </w:rPr>
              <w:t>9</w:t>
            </w:r>
          </w:p>
        </w:tc>
        <w:tc>
          <w:tcPr>
            <w:tcW w:w="1385" w:type="dxa"/>
            <w:tcBorders>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41,269</w:t>
            </w:r>
          </w:p>
        </w:tc>
        <w:tc>
          <w:tcPr>
            <w:tcW w:w="1451" w:type="dxa"/>
            <w:tcBorders>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41,169</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b/>
                <w:bCs/>
                <w:szCs w:val="21"/>
                <w:lang w:val="en-US"/>
              </w:rPr>
              <w:t>Total non-current liabilities</w:t>
            </w:r>
          </w:p>
        </w:tc>
        <w:tc>
          <w:tcPr>
            <w:tcW w:w="883" w:type="dxa"/>
            <w:vAlign w:val="bottom"/>
          </w:tcPr>
          <w:p w:rsidR="00E579CB" w:rsidRPr="00E579CB" w:rsidRDefault="00E579CB" w:rsidP="00E579CB">
            <w:pPr>
              <w:spacing w:after="0"/>
              <w:jc w:val="center"/>
              <w:rPr>
                <w:rFonts w:cs="Arial"/>
                <w:b/>
                <w:szCs w:val="21"/>
                <w:highlight w:val="yellow"/>
                <w:lang w:val="en-US"/>
              </w:rPr>
            </w:pPr>
          </w:p>
        </w:tc>
        <w:tc>
          <w:tcPr>
            <w:tcW w:w="1385" w:type="dxa"/>
            <w:tcBorders>
              <w:top w:val="single" w:sz="4" w:space="0" w:color="auto"/>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41,269</w:t>
            </w:r>
          </w:p>
        </w:tc>
        <w:tc>
          <w:tcPr>
            <w:tcW w:w="1451" w:type="dxa"/>
            <w:tcBorders>
              <w:top w:val="single" w:sz="4" w:space="0" w:color="auto"/>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41,169</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b/>
                <w:bCs/>
                <w:szCs w:val="21"/>
                <w:lang w:val="en-US"/>
              </w:rPr>
            </w:pPr>
            <w:r w:rsidRPr="00E579CB">
              <w:rPr>
                <w:rFonts w:cs="Arial"/>
                <w:b/>
                <w:bCs/>
                <w:szCs w:val="21"/>
                <w:lang w:val="en-US"/>
              </w:rPr>
              <w:t>Total liabilities</w:t>
            </w:r>
          </w:p>
        </w:tc>
        <w:tc>
          <w:tcPr>
            <w:tcW w:w="883" w:type="dxa"/>
            <w:vAlign w:val="bottom"/>
          </w:tcPr>
          <w:p w:rsidR="00E579CB" w:rsidRPr="00E579CB" w:rsidRDefault="00E579CB" w:rsidP="00E579CB">
            <w:pPr>
              <w:spacing w:after="0"/>
              <w:jc w:val="right"/>
              <w:rPr>
                <w:rFonts w:cs="Arial"/>
                <w:b/>
                <w:szCs w:val="21"/>
                <w:highlight w:val="yellow"/>
                <w:lang w:val="en-US"/>
              </w:rPr>
            </w:pPr>
          </w:p>
        </w:tc>
        <w:tc>
          <w:tcPr>
            <w:tcW w:w="1385" w:type="dxa"/>
            <w:tcBorders>
              <w:top w:val="single" w:sz="4" w:space="0" w:color="auto"/>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1,436,898</w:t>
            </w:r>
          </w:p>
        </w:tc>
        <w:tc>
          <w:tcPr>
            <w:tcW w:w="1451" w:type="dxa"/>
            <w:tcBorders>
              <w:top w:val="single" w:sz="4" w:space="0" w:color="auto"/>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504,388</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p>
        </w:tc>
        <w:tc>
          <w:tcPr>
            <w:tcW w:w="883" w:type="dxa"/>
            <w:vAlign w:val="bottom"/>
          </w:tcPr>
          <w:p w:rsidR="00E579CB" w:rsidRPr="00E579CB" w:rsidRDefault="00E579CB" w:rsidP="00E579CB">
            <w:pPr>
              <w:spacing w:after="0"/>
              <w:jc w:val="right"/>
              <w:rPr>
                <w:rFonts w:cs="Arial"/>
                <w:b/>
                <w:szCs w:val="21"/>
                <w:highlight w:val="yellow"/>
                <w:lang w:val="en-US"/>
              </w:rPr>
            </w:pPr>
          </w:p>
        </w:tc>
        <w:tc>
          <w:tcPr>
            <w:tcW w:w="1385" w:type="dxa"/>
            <w:tcBorders>
              <w:top w:val="single" w:sz="4" w:space="0" w:color="auto"/>
              <w:bottom w:val="single" w:sz="4" w:space="0" w:color="auto"/>
            </w:tcBorders>
            <w:vAlign w:val="bottom"/>
          </w:tcPr>
          <w:p w:rsidR="00E579CB" w:rsidRPr="00E579CB" w:rsidRDefault="00E579CB" w:rsidP="00E579CB">
            <w:pPr>
              <w:spacing w:after="0"/>
              <w:jc w:val="right"/>
              <w:rPr>
                <w:rFonts w:cs="Arial"/>
                <w:b/>
                <w:szCs w:val="21"/>
                <w:lang w:val="en-US"/>
              </w:rPr>
            </w:pPr>
          </w:p>
        </w:tc>
        <w:tc>
          <w:tcPr>
            <w:tcW w:w="1451" w:type="dxa"/>
            <w:tcBorders>
              <w:top w:val="single" w:sz="4" w:space="0" w:color="auto"/>
              <w:bottom w:val="single" w:sz="4" w:space="0" w:color="auto"/>
            </w:tcBorders>
            <w:vAlign w:val="bottom"/>
          </w:tcPr>
          <w:p w:rsidR="00E579CB" w:rsidRPr="00E579CB" w:rsidRDefault="00E579CB" w:rsidP="00E579CB">
            <w:pPr>
              <w:spacing w:after="0"/>
              <w:jc w:val="right"/>
              <w:rPr>
                <w:rFonts w:cs="Arial"/>
                <w:b/>
                <w:szCs w:val="21"/>
                <w:lang w:val="en-US"/>
              </w:rPr>
            </w:pP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b/>
                <w:bCs/>
                <w:szCs w:val="21"/>
                <w:lang w:val="en-US"/>
              </w:rPr>
              <w:t>Net assets</w:t>
            </w:r>
          </w:p>
        </w:tc>
        <w:tc>
          <w:tcPr>
            <w:tcW w:w="883" w:type="dxa"/>
            <w:vAlign w:val="bottom"/>
          </w:tcPr>
          <w:p w:rsidR="00E579CB" w:rsidRPr="00E579CB" w:rsidRDefault="00E579CB" w:rsidP="00E579CB">
            <w:pPr>
              <w:spacing w:after="0"/>
              <w:rPr>
                <w:rFonts w:cs="Arial"/>
                <w:b/>
                <w:szCs w:val="21"/>
                <w:highlight w:val="yellow"/>
                <w:lang w:val="en-US"/>
              </w:rPr>
            </w:pPr>
          </w:p>
        </w:tc>
        <w:tc>
          <w:tcPr>
            <w:tcW w:w="1385" w:type="dxa"/>
            <w:tcBorders>
              <w:top w:val="single" w:sz="4" w:space="0" w:color="auto"/>
              <w:bottom w:val="doub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2,501,719</w:t>
            </w:r>
          </w:p>
        </w:tc>
        <w:tc>
          <w:tcPr>
            <w:tcW w:w="1451" w:type="dxa"/>
            <w:tcBorders>
              <w:top w:val="single" w:sz="4" w:space="0" w:color="auto"/>
              <w:bottom w:val="doub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2,497,169</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p>
        </w:tc>
        <w:tc>
          <w:tcPr>
            <w:tcW w:w="883" w:type="dxa"/>
            <w:vAlign w:val="bottom"/>
          </w:tcPr>
          <w:p w:rsidR="00E579CB" w:rsidRPr="00E579CB" w:rsidRDefault="00E579CB" w:rsidP="00E579CB">
            <w:pPr>
              <w:spacing w:after="0"/>
              <w:jc w:val="right"/>
              <w:rPr>
                <w:rFonts w:cs="Arial"/>
                <w:b/>
                <w:szCs w:val="21"/>
                <w:highlight w:val="yellow"/>
                <w:lang w:val="en-US"/>
              </w:rPr>
            </w:pPr>
          </w:p>
        </w:tc>
        <w:tc>
          <w:tcPr>
            <w:tcW w:w="1385" w:type="dxa"/>
            <w:tcBorders>
              <w:top w:val="double" w:sz="4" w:space="0" w:color="auto"/>
            </w:tcBorders>
            <w:vAlign w:val="bottom"/>
          </w:tcPr>
          <w:p w:rsidR="00E579CB" w:rsidRPr="00E579CB" w:rsidRDefault="00E579CB" w:rsidP="00E579CB">
            <w:pPr>
              <w:spacing w:after="0"/>
              <w:jc w:val="right"/>
              <w:rPr>
                <w:rFonts w:cs="Arial"/>
                <w:b/>
                <w:szCs w:val="21"/>
                <w:lang w:val="en-US"/>
              </w:rPr>
            </w:pPr>
          </w:p>
        </w:tc>
        <w:tc>
          <w:tcPr>
            <w:tcW w:w="1451" w:type="dxa"/>
            <w:tcBorders>
              <w:top w:val="double" w:sz="4" w:space="0" w:color="auto"/>
            </w:tcBorders>
            <w:vAlign w:val="bottom"/>
          </w:tcPr>
          <w:p w:rsidR="00E579CB" w:rsidRPr="00E579CB" w:rsidRDefault="00E579CB" w:rsidP="00E579CB">
            <w:pPr>
              <w:spacing w:after="0"/>
              <w:jc w:val="right"/>
              <w:rPr>
                <w:rFonts w:cs="Arial"/>
                <w:b/>
                <w:szCs w:val="21"/>
                <w:lang w:val="en-US"/>
              </w:rPr>
            </w:pP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b/>
                <w:bCs/>
                <w:szCs w:val="21"/>
                <w:lang w:val="en-US"/>
              </w:rPr>
              <w:t>EQUITY</w:t>
            </w:r>
          </w:p>
        </w:tc>
        <w:tc>
          <w:tcPr>
            <w:tcW w:w="883" w:type="dxa"/>
            <w:vAlign w:val="bottom"/>
          </w:tcPr>
          <w:p w:rsidR="00E579CB" w:rsidRPr="00E579CB" w:rsidRDefault="00E579CB" w:rsidP="00E579CB">
            <w:pPr>
              <w:spacing w:after="0"/>
              <w:rPr>
                <w:rFonts w:cs="Arial"/>
                <w:b/>
                <w:szCs w:val="21"/>
                <w:highlight w:val="yellow"/>
                <w:lang w:val="en-US"/>
              </w:rPr>
            </w:pPr>
          </w:p>
        </w:tc>
        <w:tc>
          <w:tcPr>
            <w:tcW w:w="1385" w:type="dxa"/>
            <w:vAlign w:val="bottom"/>
          </w:tcPr>
          <w:p w:rsidR="00E579CB" w:rsidRPr="00E579CB" w:rsidRDefault="00E579CB" w:rsidP="00E579CB">
            <w:pPr>
              <w:spacing w:after="0"/>
              <w:rPr>
                <w:rFonts w:cs="Arial"/>
                <w:b/>
                <w:szCs w:val="21"/>
                <w:lang w:val="en-US"/>
              </w:rPr>
            </w:pPr>
          </w:p>
        </w:tc>
        <w:tc>
          <w:tcPr>
            <w:tcW w:w="1451" w:type="dxa"/>
            <w:vAlign w:val="bottom"/>
          </w:tcPr>
          <w:p w:rsidR="00E579CB" w:rsidRPr="00E579CB" w:rsidRDefault="00E579CB" w:rsidP="00E579CB">
            <w:pPr>
              <w:spacing w:after="0"/>
              <w:rPr>
                <w:rFonts w:cs="Arial"/>
                <w:b/>
                <w:szCs w:val="21"/>
                <w:lang w:val="en-US"/>
              </w:rPr>
            </w:pP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Accumulated funds</w:t>
            </w:r>
          </w:p>
        </w:tc>
        <w:tc>
          <w:tcPr>
            <w:tcW w:w="883" w:type="dxa"/>
            <w:vAlign w:val="bottom"/>
          </w:tcPr>
          <w:p w:rsidR="00E579CB" w:rsidRPr="00E579CB" w:rsidRDefault="00E579CB" w:rsidP="00E579CB">
            <w:pPr>
              <w:spacing w:after="0"/>
              <w:jc w:val="center"/>
              <w:rPr>
                <w:rFonts w:cs="Arial"/>
                <w:szCs w:val="21"/>
                <w:lang w:val="en-US"/>
              </w:rPr>
            </w:pPr>
          </w:p>
        </w:tc>
        <w:tc>
          <w:tcPr>
            <w:tcW w:w="1385" w:type="dxa"/>
            <w:vAlign w:val="bottom"/>
          </w:tcPr>
          <w:p w:rsidR="00E579CB" w:rsidRPr="00E579CB" w:rsidRDefault="00E579CB" w:rsidP="00E579CB">
            <w:pPr>
              <w:spacing w:after="0"/>
              <w:jc w:val="right"/>
              <w:rPr>
                <w:rFonts w:cs="Arial"/>
                <w:szCs w:val="21"/>
                <w:lang w:val="en-US"/>
              </w:rPr>
            </w:pPr>
            <w:r w:rsidRPr="00E579CB">
              <w:rPr>
                <w:rFonts w:cs="Arial"/>
                <w:szCs w:val="21"/>
                <w:lang w:val="en-US"/>
              </w:rPr>
              <w:t>1,759,241</w:t>
            </w:r>
          </w:p>
        </w:tc>
        <w:tc>
          <w:tcPr>
            <w:tcW w:w="1451" w:type="dxa"/>
            <w:vAlign w:val="bottom"/>
          </w:tcPr>
          <w:p w:rsidR="00E579CB" w:rsidRPr="00E579CB" w:rsidRDefault="00E579CB" w:rsidP="00E579CB">
            <w:pPr>
              <w:spacing w:after="0"/>
              <w:jc w:val="right"/>
              <w:rPr>
                <w:rFonts w:cs="Arial"/>
                <w:szCs w:val="21"/>
                <w:lang w:val="en-US"/>
              </w:rPr>
            </w:pPr>
            <w:r w:rsidRPr="00E579CB">
              <w:rPr>
                <w:rFonts w:cs="Arial"/>
                <w:szCs w:val="21"/>
                <w:lang w:val="en-US"/>
              </w:rPr>
              <w:t>2,497,169</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szCs w:val="21"/>
                <w:lang w:val="en-US"/>
              </w:rPr>
              <w:t>Competitive research grant reserve</w:t>
            </w:r>
          </w:p>
        </w:tc>
        <w:tc>
          <w:tcPr>
            <w:tcW w:w="883" w:type="dxa"/>
            <w:vAlign w:val="bottom"/>
          </w:tcPr>
          <w:p w:rsidR="00E579CB" w:rsidRPr="00E579CB" w:rsidRDefault="00E579CB" w:rsidP="00E579CB">
            <w:pPr>
              <w:spacing w:after="0"/>
              <w:jc w:val="center"/>
              <w:rPr>
                <w:rFonts w:cs="Arial"/>
                <w:szCs w:val="21"/>
                <w:lang w:val="en-US"/>
              </w:rPr>
            </w:pPr>
          </w:p>
        </w:tc>
        <w:tc>
          <w:tcPr>
            <w:tcW w:w="1385" w:type="dxa"/>
            <w:vAlign w:val="bottom"/>
          </w:tcPr>
          <w:p w:rsidR="00E579CB" w:rsidRPr="00E579CB" w:rsidRDefault="00E579CB" w:rsidP="00E579CB">
            <w:pPr>
              <w:spacing w:after="0"/>
              <w:jc w:val="right"/>
              <w:rPr>
                <w:rFonts w:cs="Arial"/>
                <w:szCs w:val="21"/>
                <w:lang w:val="en-US"/>
              </w:rPr>
            </w:pPr>
            <w:r w:rsidRPr="00E579CB">
              <w:rPr>
                <w:rFonts w:cs="Arial"/>
                <w:szCs w:val="21"/>
                <w:lang w:val="en-US"/>
              </w:rPr>
              <w:t>742,478</w:t>
            </w:r>
          </w:p>
        </w:tc>
        <w:tc>
          <w:tcPr>
            <w:tcW w:w="1451" w:type="dxa"/>
            <w:vAlign w:val="bottom"/>
          </w:tcPr>
          <w:p w:rsidR="00E579CB" w:rsidRPr="00E579CB" w:rsidRDefault="00E579CB" w:rsidP="00E579CB">
            <w:pPr>
              <w:spacing w:after="0"/>
              <w:jc w:val="right"/>
              <w:rPr>
                <w:rFonts w:cs="Arial"/>
                <w:szCs w:val="21"/>
                <w:lang w:val="en-US"/>
              </w:rPr>
            </w:pPr>
            <w:r w:rsidRPr="00E579CB">
              <w:rPr>
                <w:rFonts w:cs="Arial"/>
                <w:szCs w:val="21"/>
                <w:lang w:val="en-US"/>
              </w:rPr>
              <w:t>-</w:t>
            </w:r>
          </w:p>
        </w:tc>
      </w:tr>
      <w:tr w:rsidR="00E579CB" w:rsidRPr="00E579CB" w:rsidTr="00E579CB">
        <w:trPr>
          <w:trHeight w:val="270"/>
        </w:trPr>
        <w:tc>
          <w:tcPr>
            <w:tcW w:w="4820" w:type="dxa"/>
            <w:shd w:val="clear" w:color="auto" w:fill="auto"/>
            <w:vAlign w:val="bottom"/>
          </w:tcPr>
          <w:p w:rsidR="00E579CB" w:rsidRPr="00E579CB" w:rsidRDefault="00E579CB" w:rsidP="00E579CB">
            <w:pPr>
              <w:spacing w:after="0"/>
              <w:rPr>
                <w:rFonts w:cs="Arial"/>
                <w:szCs w:val="21"/>
                <w:lang w:val="en-US"/>
              </w:rPr>
            </w:pPr>
            <w:r w:rsidRPr="00E579CB">
              <w:rPr>
                <w:rFonts w:cs="Arial"/>
                <w:b/>
                <w:bCs/>
                <w:szCs w:val="21"/>
                <w:lang w:val="en-US"/>
              </w:rPr>
              <w:t>Total equity</w:t>
            </w:r>
          </w:p>
        </w:tc>
        <w:tc>
          <w:tcPr>
            <w:tcW w:w="883" w:type="dxa"/>
            <w:vAlign w:val="bottom"/>
          </w:tcPr>
          <w:p w:rsidR="00E579CB" w:rsidRPr="00E579CB" w:rsidRDefault="00E579CB" w:rsidP="00E579CB">
            <w:pPr>
              <w:spacing w:after="0"/>
              <w:jc w:val="center"/>
              <w:rPr>
                <w:rFonts w:cs="Arial"/>
                <w:szCs w:val="21"/>
                <w:lang w:val="en-US"/>
              </w:rPr>
            </w:pPr>
          </w:p>
        </w:tc>
        <w:tc>
          <w:tcPr>
            <w:tcW w:w="1385" w:type="dxa"/>
            <w:tcBorders>
              <w:top w:val="single" w:sz="4" w:space="0" w:color="auto"/>
              <w:bottom w:val="doub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2,501,719</w:t>
            </w:r>
          </w:p>
        </w:tc>
        <w:tc>
          <w:tcPr>
            <w:tcW w:w="1451" w:type="dxa"/>
            <w:tcBorders>
              <w:top w:val="single" w:sz="4" w:space="0" w:color="auto"/>
              <w:bottom w:val="doub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2,497,169</w:t>
            </w:r>
          </w:p>
        </w:tc>
      </w:tr>
      <w:bookmarkEnd w:id="9"/>
      <w:bookmarkEnd w:id="10"/>
    </w:tbl>
    <w:p w:rsidR="00E579CB" w:rsidRPr="00E579CB" w:rsidRDefault="00E579CB" w:rsidP="00E579CB">
      <w:pPr>
        <w:spacing w:after="0"/>
        <w:rPr>
          <w:rFonts w:cs="Arial"/>
          <w:i/>
          <w:szCs w:val="21"/>
          <w:lang w:val="en-US"/>
        </w:rPr>
      </w:pPr>
    </w:p>
    <w:p w:rsidR="00E579CB" w:rsidRPr="00E579CB" w:rsidRDefault="00E579CB" w:rsidP="00E579CB">
      <w:pPr>
        <w:spacing w:after="0"/>
        <w:rPr>
          <w:rFonts w:cs="Arial"/>
          <w:i/>
          <w:szCs w:val="21"/>
          <w:lang w:val="en-US"/>
        </w:rPr>
      </w:pPr>
    </w:p>
    <w:p w:rsidR="00E579CB" w:rsidRPr="00E579CB" w:rsidRDefault="00E579CB" w:rsidP="00E579CB">
      <w:pPr>
        <w:spacing w:after="0"/>
        <w:rPr>
          <w:rFonts w:cs="Arial"/>
          <w:i/>
          <w:szCs w:val="21"/>
          <w:lang w:val="en-US"/>
        </w:rPr>
      </w:pPr>
    </w:p>
    <w:p w:rsidR="00E579CB" w:rsidRPr="00E579CB" w:rsidRDefault="00E579CB" w:rsidP="00E579CB">
      <w:pPr>
        <w:spacing w:after="0"/>
        <w:rPr>
          <w:rFonts w:cs="Arial"/>
          <w:i/>
          <w:szCs w:val="21"/>
          <w:lang w:val="en-US"/>
        </w:rPr>
      </w:pPr>
      <w:r w:rsidRPr="00E579CB">
        <w:rPr>
          <w:rFonts w:cs="Arial"/>
          <w:i/>
          <w:szCs w:val="21"/>
          <w:lang w:val="en-US"/>
        </w:rPr>
        <w:t>The above Statement of Financial Position should be read in conjunction with the accompanying notes.</w:t>
      </w:r>
    </w:p>
    <w:p w:rsidR="00E579CB" w:rsidRPr="00E579CB" w:rsidRDefault="00E579CB" w:rsidP="00E579CB">
      <w:pPr>
        <w:spacing w:after="0"/>
        <w:rPr>
          <w:rFonts w:cs="Arial"/>
          <w:b/>
          <w:bCs/>
          <w:szCs w:val="21"/>
          <w:lang w:val="en-US"/>
        </w:rPr>
      </w:pPr>
      <w:r w:rsidRPr="00E579CB">
        <w:rPr>
          <w:rFonts w:cs="Arial"/>
          <w:i/>
          <w:szCs w:val="21"/>
          <w:lang w:val="en-US"/>
        </w:rPr>
        <w:br w:type="column"/>
      </w:r>
      <w:r w:rsidRPr="00E579CB">
        <w:rPr>
          <w:rFonts w:cs="Arial"/>
          <w:b/>
          <w:bCs/>
          <w:szCs w:val="21"/>
          <w:lang w:val="en-US"/>
        </w:rPr>
        <w:lastRenderedPageBreak/>
        <w:t>Statement of Changes in Equity</w:t>
      </w:r>
    </w:p>
    <w:p w:rsidR="00E579CB" w:rsidRPr="00E579CB" w:rsidRDefault="00E579CB" w:rsidP="00E579CB">
      <w:pPr>
        <w:spacing w:after="0"/>
        <w:rPr>
          <w:rFonts w:cs="Arial"/>
          <w:b/>
          <w:bCs/>
          <w:szCs w:val="21"/>
          <w:lang w:val="en-US"/>
        </w:rPr>
      </w:pPr>
      <w:r w:rsidRPr="00E579CB">
        <w:rPr>
          <w:rFonts w:cs="Arial"/>
          <w:b/>
          <w:bCs/>
          <w:szCs w:val="21"/>
          <w:lang w:val="en-US"/>
        </w:rPr>
        <w:t>For the year ended 30 June 2019</w:t>
      </w:r>
    </w:p>
    <w:tbl>
      <w:tblPr>
        <w:tblW w:w="9606" w:type="dxa"/>
        <w:tblInd w:w="-108" w:type="dxa"/>
        <w:tblBorders>
          <w:top w:val="single" w:sz="4" w:space="0" w:color="auto"/>
          <w:bottom w:val="single" w:sz="4" w:space="0" w:color="auto"/>
        </w:tblBorders>
        <w:tblLayout w:type="fixed"/>
        <w:tblLook w:val="0000" w:firstRow="0" w:lastRow="0" w:firstColumn="0" w:lastColumn="0" w:noHBand="0" w:noVBand="0"/>
      </w:tblPr>
      <w:tblGrid>
        <w:gridCol w:w="4077"/>
        <w:gridCol w:w="1276"/>
        <w:gridCol w:w="189"/>
        <w:gridCol w:w="1607"/>
        <w:gridCol w:w="330"/>
        <w:gridCol w:w="1277"/>
        <w:gridCol w:w="424"/>
        <w:gridCol w:w="426"/>
      </w:tblGrid>
      <w:tr w:rsidR="00E579CB" w:rsidRPr="00E579CB" w:rsidTr="00E579CB">
        <w:trPr>
          <w:trHeight w:val="255"/>
        </w:trPr>
        <w:tc>
          <w:tcPr>
            <w:tcW w:w="4077" w:type="dxa"/>
            <w:tcBorders>
              <w:top w:val="nil"/>
              <w:bottom w:val="nil"/>
            </w:tcBorders>
            <w:shd w:val="clear" w:color="auto" w:fill="auto"/>
            <w:noWrap/>
            <w:vAlign w:val="bottom"/>
          </w:tcPr>
          <w:p w:rsidR="00E579CB" w:rsidRPr="00E579CB" w:rsidRDefault="00E579CB" w:rsidP="00E579CB">
            <w:pPr>
              <w:spacing w:after="0"/>
              <w:rPr>
                <w:rFonts w:cs="Arial"/>
                <w:iCs/>
                <w:szCs w:val="21"/>
                <w:lang w:val="en-US"/>
              </w:rPr>
            </w:pPr>
          </w:p>
        </w:tc>
        <w:tc>
          <w:tcPr>
            <w:tcW w:w="1276" w:type="dxa"/>
            <w:tcBorders>
              <w:top w:val="nil"/>
              <w:bottom w:val="nil"/>
            </w:tcBorders>
          </w:tcPr>
          <w:p w:rsidR="00E579CB" w:rsidRPr="00E579CB" w:rsidRDefault="00E579CB" w:rsidP="00E579CB">
            <w:pPr>
              <w:spacing w:after="0"/>
              <w:jc w:val="center"/>
              <w:rPr>
                <w:rFonts w:cs="Arial"/>
                <w:b/>
                <w:szCs w:val="21"/>
                <w:lang w:val="en-US"/>
              </w:rPr>
            </w:pPr>
          </w:p>
        </w:tc>
        <w:tc>
          <w:tcPr>
            <w:tcW w:w="2126" w:type="dxa"/>
            <w:gridSpan w:val="3"/>
            <w:tcBorders>
              <w:top w:val="nil"/>
              <w:bottom w:val="nil"/>
            </w:tcBorders>
          </w:tcPr>
          <w:p w:rsidR="00E579CB" w:rsidRPr="00E579CB" w:rsidRDefault="00E579CB" w:rsidP="00E579CB">
            <w:pPr>
              <w:spacing w:after="0"/>
              <w:jc w:val="center"/>
              <w:rPr>
                <w:rFonts w:cs="Arial"/>
                <w:b/>
                <w:szCs w:val="21"/>
                <w:lang w:val="en-US"/>
              </w:rPr>
            </w:pPr>
          </w:p>
        </w:tc>
        <w:tc>
          <w:tcPr>
            <w:tcW w:w="1701" w:type="dxa"/>
            <w:gridSpan w:val="2"/>
            <w:tcBorders>
              <w:top w:val="nil"/>
              <w:bottom w:val="nil"/>
            </w:tcBorders>
          </w:tcPr>
          <w:p w:rsidR="00E579CB" w:rsidRPr="00E579CB" w:rsidRDefault="00E579CB" w:rsidP="00E579CB">
            <w:pPr>
              <w:spacing w:after="0"/>
              <w:jc w:val="center"/>
              <w:rPr>
                <w:rFonts w:cs="Arial"/>
                <w:b/>
                <w:szCs w:val="21"/>
                <w:lang w:val="en-US"/>
              </w:rPr>
            </w:pPr>
          </w:p>
        </w:tc>
        <w:tc>
          <w:tcPr>
            <w:tcW w:w="426" w:type="dxa"/>
            <w:tcBorders>
              <w:top w:val="nil"/>
              <w:bottom w:val="nil"/>
            </w:tcBorders>
          </w:tcPr>
          <w:p w:rsidR="00E579CB" w:rsidRPr="00E579CB" w:rsidRDefault="00E579CB" w:rsidP="00E579CB">
            <w:pPr>
              <w:spacing w:after="0"/>
              <w:jc w:val="center"/>
              <w:rPr>
                <w:rFonts w:cs="Arial"/>
                <w:b/>
                <w:szCs w:val="21"/>
                <w:lang w:val="en-US"/>
              </w:rPr>
            </w:pPr>
          </w:p>
        </w:tc>
      </w:tr>
      <w:tr w:rsidR="00E579CB" w:rsidRPr="00E579CB" w:rsidTr="00E579CB">
        <w:trPr>
          <w:gridAfter w:val="2"/>
          <w:wAfter w:w="850" w:type="dxa"/>
          <w:trHeight w:val="255"/>
        </w:trPr>
        <w:tc>
          <w:tcPr>
            <w:tcW w:w="4077" w:type="dxa"/>
            <w:tcBorders>
              <w:top w:val="nil"/>
            </w:tcBorders>
            <w:shd w:val="clear" w:color="auto" w:fill="auto"/>
            <w:noWrap/>
            <w:vAlign w:val="bottom"/>
          </w:tcPr>
          <w:p w:rsidR="00E579CB" w:rsidRPr="00E579CB" w:rsidRDefault="00E579CB" w:rsidP="00E579CB">
            <w:pPr>
              <w:spacing w:after="0"/>
              <w:rPr>
                <w:rFonts w:cs="Arial"/>
                <w:iCs/>
                <w:szCs w:val="21"/>
                <w:lang w:val="en-US"/>
              </w:rPr>
            </w:pPr>
          </w:p>
        </w:tc>
        <w:tc>
          <w:tcPr>
            <w:tcW w:w="1465" w:type="dxa"/>
            <w:gridSpan w:val="2"/>
            <w:tcBorders>
              <w:top w:val="nil"/>
            </w:tcBorders>
          </w:tcPr>
          <w:p w:rsidR="00E579CB" w:rsidRPr="00E579CB" w:rsidRDefault="00E579CB" w:rsidP="00E579CB">
            <w:pPr>
              <w:spacing w:after="0"/>
              <w:jc w:val="center"/>
              <w:rPr>
                <w:rFonts w:cs="Arial"/>
                <w:b/>
                <w:szCs w:val="21"/>
                <w:lang w:val="en-US"/>
              </w:rPr>
            </w:pPr>
            <w:r w:rsidRPr="00E579CB">
              <w:rPr>
                <w:rFonts w:cs="Arial"/>
                <w:b/>
                <w:szCs w:val="21"/>
                <w:lang w:val="en-US"/>
              </w:rPr>
              <w:t>Competitive Research Grant Reserve</w:t>
            </w:r>
          </w:p>
        </w:tc>
        <w:tc>
          <w:tcPr>
            <w:tcW w:w="1607" w:type="dxa"/>
            <w:tcBorders>
              <w:top w:val="nil"/>
            </w:tcBorders>
          </w:tcPr>
          <w:p w:rsidR="00E579CB" w:rsidRPr="00E579CB" w:rsidRDefault="00E579CB" w:rsidP="00E579CB">
            <w:pPr>
              <w:spacing w:after="0"/>
              <w:jc w:val="center"/>
              <w:rPr>
                <w:rFonts w:cs="Arial"/>
                <w:b/>
                <w:szCs w:val="21"/>
                <w:lang w:val="en-US"/>
              </w:rPr>
            </w:pPr>
            <w:r w:rsidRPr="00E579CB">
              <w:rPr>
                <w:rFonts w:cs="Arial"/>
                <w:b/>
                <w:szCs w:val="21"/>
                <w:lang w:val="en-US"/>
              </w:rPr>
              <w:t>Accumulated funds</w:t>
            </w:r>
          </w:p>
        </w:tc>
        <w:tc>
          <w:tcPr>
            <w:tcW w:w="1607" w:type="dxa"/>
            <w:gridSpan w:val="2"/>
            <w:tcBorders>
              <w:top w:val="nil"/>
            </w:tcBorders>
          </w:tcPr>
          <w:p w:rsidR="00E579CB" w:rsidRPr="00E579CB" w:rsidRDefault="00E579CB" w:rsidP="00E579CB">
            <w:pPr>
              <w:spacing w:after="0"/>
              <w:jc w:val="center"/>
              <w:rPr>
                <w:rFonts w:cs="Arial"/>
                <w:b/>
                <w:szCs w:val="21"/>
                <w:lang w:val="en-US"/>
              </w:rPr>
            </w:pPr>
            <w:r w:rsidRPr="00E579CB">
              <w:rPr>
                <w:rFonts w:cs="Arial"/>
                <w:b/>
                <w:szCs w:val="21"/>
                <w:lang w:val="en-US"/>
              </w:rPr>
              <w:t>Total</w:t>
            </w:r>
          </w:p>
        </w:tc>
      </w:tr>
      <w:tr w:rsidR="00E579CB" w:rsidRPr="00E579CB" w:rsidTr="00E579CB">
        <w:trPr>
          <w:gridAfter w:val="2"/>
          <w:wAfter w:w="850" w:type="dxa"/>
          <w:trHeight w:val="255"/>
        </w:trPr>
        <w:tc>
          <w:tcPr>
            <w:tcW w:w="4077" w:type="dxa"/>
            <w:shd w:val="clear" w:color="auto" w:fill="auto"/>
            <w:noWrap/>
            <w:vAlign w:val="bottom"/>
          </w:tcPr>
          <w:p w:rsidR="00E579CB" w:rsidRPr="00E579CB" w:rsidRDefault="00E579CB" w:rsidP="00E579CB">
            <w:pPr>
              <w:spacing w:after="0"/>
              <w:rPr>
                <w:rFonts w:cs="Arial"/>
                <w:iCs/>
                <w:szCs w:val="21"/>
                <w:lang w:val="en-US"/>
              </w:rPr>
            </w:pPr>
          </w:p>
        </w:tc>
        <w:tc>
          <w:tcPr>
            <w:tcW w:w="1465" w:type="dxa"/>
            <w:gridSpan w:val="2"/>
          </w:tcPr>
          <w:p w:rsidR="00E579CB" w:rsidRPr="00E579CB" w:rsidRDefault="00E579CB" w:rsidP="00E579CB">
            <w:pPr>
              <w:spacing w:after="0"/>
              <w:jc w:val="center"/>
              <w:rPr>
                <w:rFonts w:cs="Arial"/>
                <w:b/>
                <w:szCs w:val="21"/>
                <w:lang w:val="en-US"/>
              </w:rPr>
            </w:pPr>
            <w:r w:rsidRPr="00E579CB">
              <w:rPr>
                <w:rFonts w:cs="Arial"/>
                <w:b/>
                <w:szCs w:val="21"/>
                <w:lang w:val="en-US"/>
              </w:rPr>
              <w:t>$</w:t>
            </w:r>
          </w:p>
        </w:tc>
        <w:tc>
          <w:tcPr>
            <w:tcW w:w="1607" w:type="dxa"/>
          </w:tcPr>
          <w:p w:rsidR="00E579CB" w:rsidRPr="00E579CB" w:rsidRDefault="00E579CB" w:rsidP="00E579CB">
            <w:pPr>
              <w:spacing w:after="0"/>
              <w:jc w:val="center"/>
              <w:rPr>
                <w:rFonts w:cs="Arial"/>
                <w:b/>
                <w:szCs w:val="21"/>
                <w:lang w:val="en-US"/>
              </w:rPr>
            </w:pPr>
            <w:r w:rsidRPr="00E579CB">
              <w:rPr>
                <w:rFonts w:cs="Arial"/>
                <w:b/>
                <w:szCs w:val="21"/>
                <w:lang w:val="en-US"/>
              </w:rPr>
              <w:t>$</w:t>
            </w:r>
          </w:p>
        </w:tc>
        <w:tc>
          <w:tcPr>
            <w:tcW w:w="1607" w:type="dxa"/>
            <w:gridSpan w:val="2"/>
          </w:tcPr>
          <w:p w:rsidR="00E579CB" w:rsidRPr="00E579CB" w:rsidRDefault="00E579CB" w:rsidP="00E579CB">
            <w:pPr>
              <w:spacing w:after="0"/>
              <w:jc w:val="center"/>
              <w:rPr>
                <w:rFonts w:cs="Arial"/>
                <w:b/>
                <w:szCs w:val="21"/>
                <w:lang w:val="en-US"/>
              </w:rPr>
            </w:pPr>
            <w:r w:rsidRPr="00E579CB">
              <w:rPr>
                <w:rFonts w:cs="Arial"/>
                <w:b/>
                <w:szCs w:val="21"/>
                <w:lang w:val="en-US"/>
              </w:rPr>
              <w:t>$</w:t>
            </w:r>
          </w:p>
        </w:tc>
      </w:tr>
      <w:tr w:rsidR="00E579CB" w:rsidRPr="00E579CB" w:rsidTr="00E579CB">
        <w:trPr>
          <w:gridAfter w:val="2"/>
          <w:wAfter w:w="850" w:type="dxa"/>
          <w:trHeight w:val="255"/>
        </w:trPr>
        <w:tc>
          <w:tcPr>
            <w:tcW w:w="4077" w:type="dxa"/>
            <w:shd w:val="clear" w:color="auto" w:fill="auto"/>
            <w:noWrap/>
            <w:vAlign w:val="bottom"/>
          </w:tcPr>
          <w:p w:rsidR="00E579CB" w:rsidRPr="00E579CB" w:rsidRDefault="00E579CB" w:rsidP="00E579CB">
            <w:pPr>
              <w:spacing w:after="0"/>
              <w:rPr>
                <w:rFonts w:cs="Arial"/>
                <w:szCs w:val="21"/>
                <w:lang w:val="en-US"/>
              </w:rPr>
            </w:pPr>
            <w:r w:rsidRPr="00E579CB">
              <w:rPr>
                <w:rFonts w:cs="Arial"/>
                <w:szCs w:val="21"/>
                <w:lang w:val="en-US"/>
              </w:rPr>
              <w:t>Balance as at 1 July 2017</w:t>
            </w:r>
          </w:p>
        </w:tc>
        <w:tc>
          <w:tcPr>
            <w:tcW w:w="1465" w:type="dxa"/>
            <w:gridSpan w:val="2"/>
          </w:tcPr>
          <w:p w:rsidR="00E579CB" w:rsidRPr="00E579CB" w:rsidRDefault="00E579CB" w:rsidP="00E579CB">
            <w:pPr>
              <w:spacing w:after="0"/>
              <w:jc w:val="right"/>
              <w:rPr>
                <w:rFonts w:cs="Arial"/>
                <w:szCs w:val="21"/>
                <w:lang w:val="en-US"/>
              </w:rPr>
            </w:pPr>
            <w:r w:rsidRPr="00E579CB">
              <w:rPr>
                <w:rFonts w:cs="Arial"/>
                <w:szCs w:val="21"/>
                <w:lang w:val="en-US"/>
              </w:rPr>
              <w:t>-</w:t>
            </w:r>
          </w:p>
        </w:tc>
        <w:tc>
          <w:tcPr>
            <w:tcW w:w="1607" w:type="dxa"/>
            <w:vAlign w:val="bottom"/>
          </w:tcPr>
          <w:p w:rsidR="00E579CB" w:rsidRPr="00E579CB" w:rsidRDefault="00E579CB" w:rsidP="00E579CB">
            <w:pPr>
              <w:spacing w:after="0"/>
              <w:jc w:val="right"/>
              <w:rPr>
                <w:rFonts w:cs="Arial"/>
                <w:szCs w:val="21"/>
                <w:highlight w:val="yellow"/>
                <w:lang w:val="en-US"/>
              </w:rPr>
            </w:pPr>
            <w:r w:rsidRPr="00E579CB">
              <w:rPr>
                <w:rFonts w:cs="Arial"/>
                <w:szCs w:val="21"/>
                <w:lang w:val="en-US"/>
              </w:rPr>
              <w:t>9,186,439</w:t>
            </w:r>
          </w:p>
        </w:tc>
        <w:tc>
          <w:tcPr>
            <w:tcW w:w="1607" w:type="dxa"/>
            <w:gridSpan w:val="2"/>
            <w:vAlign w:val="bottom"/>
          </w:tcPr>
          <w:p w:rsidR="00E579CB" w:rsidRPr="00E579CB" w:rsidRDefault="00E579CB" w:rsidP="00E579CB">
            <w:pPr>
              <w:spacing w:after="0"/>
              <w:jc w:val="right"/>
              <w:rPr>
                <w:rFonts w:cs="Arial"/>
                <w:szCs w:val="21"/>
                <w:highlight w:val="yellow"/>
                <w:lang w:val="en-US"/>
              </w:rPr>
            </w:pPr>
            <w:r w:rsidRPr="00E579CB">
              <w:rPr>
                <w:rFonts w:cs="Arial"/>
                <w:szCs w:val="21"/>
                <w:lang w:val="en-US"/>
              </w:rPr>
              <w:t>9,186,439</w:t>
            </w:r>
          </w:p>
        </w:tc>
      </w:tr>
      <w:tr w:rsidR="00E579CB" w:rsidRPr="00E579CB" w:rsidTr="00E579CB">
        <w:trPr>
          <w:gridAfter w:val="2"/>
          <w:wAfter w:w="850" w:type="dxa"/>
          <w:trHeight w:val="255"/>
        </w:trPr>
        <w:tc>
          <w:tcPr>
            <w:tcW w:w="4077" w:type="dxa"/>
            <w:shd w:val="clear" w:color="auto" w:fill="auto"/>
            <w:noWrap/>
            <w:vAlign w:val="bottom"/>
          </w:tcPr>
          <w:p w:rsidR="00E579CB" w:rsidRPr="00E579CB" w:rsidRDefault="00E579CB" w:rsidP="00E579CB">
            <w:pPr>
              <w:spacing w:after="0"/>
              <w:rPr>
                <w:rFonts w:cs="Arial"/>
                <w:szCs w:val="21"/>
                <w:lang w:val="en-US"/>
              </w:rPr>
            </w:pPr>
            <w:r w:rsidRPr="00E579CB">
              <w:rPr>
                <w:rFonts w:cs="Arial"/>
                <w:szCs w:val="21"/>
                <w:lang w:val="en-US"/>
              </w:rPr>
              <w:t>Deficit for the year</w:t>
            </w:r>
          </w:p>
        </w:tc>
        <w:tc>
          <w:tcPr>
            <w:tcW w:w="1465" w:type="dxa"/>
            <w:gridSpan w:val="2"/>
            <w:tcBorders>
              <w:bottom w:val="single" w:sz="4" w:space="0" w:color="auto"/>
            </w:tcBorders>
          </w:tcPr>
          <w:p w:rsidR="00E579CB" w:rsidRPr="00E579CB" w:rsidRDefault="00E579CB" w:rsidP="00E579CB">
            <w:pPr>
              <w:spacing w:after="0"/>
              <w:jc w:val="right"/>
              <w:rPr>
                <w:rFonts w:cs="Arial"/>
                <w:szCs w:val="21"/>
                <w:lang w:val="en-US"/>
              </w:rPr>
            </w:pPr>
            <w:r w:rsidRPr="00E579CB">
              <w:rPr>
                <w:rFonts w:cs="Arial"/>
                <w:szCs w:val="21"/>
                <w:lang w:val="en-US"/>
              </w:rPr>
              <w:t>-</w:t>
            </w:r>
          </w:p>
        </w:tc>
        <w:tc>
          <w:tcPr>
            <w:tcW w:w="1607" w:type="dxa"/>
            <w:tcBorders>
              <w:bottom w:val="single" w:sz="4" w:space="0" w:color="auto"/>
            </w:tcBorders>
            <w:vAlign w:val="bottom"/>
          </w:tcPr>
          <w:p w:rsidR="00E579CB" w:rsidRPr="00E579CB" w:rsidRDefault="00E579CB" w:rsidP="00E579CB">
            <w:pPr>
              <w:spacing w:after="0"/>
              <w:jc w:val="right"/>
              <w:rPr>
                <w:rFonts w:cs="Arial"/>
                <w:szCs w:val="21"/>
                <w:highlight w:val="yellow"/>
                <w:lang w:val="en-US"/>
              </w:rPr>
            </w:pPr>
            <w:r w:rsidRPr="00E579CB">
              <w:rPr>
                <w:rFonts w:cs="Arial"/>
                <w:szCs w:val="21"/>
                <w:lang w:val="en-US"/>
              </w:rPr>
              <w:t>(6,689,270)</w:t>
            </w:r>
          </w:p>
        </w:tc>
        <w:tc>
          <w:tcPr>
            <w:tcW w:w="1607" w:type="dxa"/>
            <w:gridSpan w:val="2"/>
            <w:tcBorders>
              <w:bottom w:val="single" w:sz="4" w:space="0" w:color="auto"/>
            </w:tcBorders>
            <w:vAlign w:val="bottom"/>
          </w:tcPr>
          <w:p w:rsidR="00E579CB" w:rsidRPr="00E579CB" w:rsidRDefault="00E579CB" w:rsidP="00E579CB">
            <w:pPr>
              <w:spacing w:after="0"/>
              <w:jc w:val="right"/>
              <w:rPr>
                <w:rFonts w:cs="Arial"/>
                <w:szCs w:val="21"/>
                <w:highlight w:val="yellow"/>
                <w:lang w:val="en-US"/>
              </w:rPr>
            </w:pPr>
            <w:r w:rsidRPr="00E579CB">
              <w:rPr>
                <w:rFonts w:cs="Arial"/>
                <w:szCs w:val="21"/>
                <w:lang w:val="en-US"/>
              </w:rPr>
              <w:t>(6,689,270)</w:t>
            </w:r>
          </w:p>
        </w:tc>
      </w:tr>
      <w:tr w:rsidR="00E579CB" w:rsidRPr="00E579CB" w:rsidTr="00E579CB">
        <w:trPr>
          <w:gridAfter w:val="2"/>
          <w:wAfter w:w="850" w:type="dxa"/>
          <w:trHeight w:val="255"/>
        </w:trPr>
        <w:tc>
          <w:tcPr>
            <w:tcW w:w="4077" w:type="dxa"/>
            <w:shd w:val="clear" w:color="auto" w:fill="auto"/>
            <w:noWrap/>
            <w:vAlign w:val="bottom"/>
          </w:tcPr>
          <w:p w:rsidR="00E579CB" w:rsidRPr="00E579CB" w:rsidRDefault="00E579CB" w:rsidP="00E579CB">
            <w:pPr>
              <w:spacing w:after="0"/>
              <w:rPr>
                <w:rFonts w:cs="Arial"/>
                <w:szCs w:val="21"/>
                <w:lang w:val="en-US"/>
              </w:rPr>
            </w:pPr>
            <w:r w:rsidRPr="00E579CB">
              <w:rPr>
                <w:rFonts w:cs="Arial"/>
                <w:szCs w:val="21"/>
                <w:lang w:val="en-US"/>
              </w:rPr>
              <w:t>Balance as at 30 June 2018</w:t>
            </w:r>
          </w:p>
        </w:tc>
        <w:tc>
          <w:tcPr>
            <w:tcW w:w="1465" w:type="dxa"/>
            <w:gridSpan w:val="2"/>
            <w:tcBorders>
              <w:top w:val="single" w:sz="4" w:space="0" w:color="auto"/>
              <w:bottom w:val="nil"/>
            </w:tcBorders>
          </w:tcPr>
          <w:p w:rsidR="00E579CB" w:rsidRPr="00E579CB" w:rsidRDefault="00E579CB" w:rsidP="00E579CB">
            <w:pPr>
              <w:spacing w:after="0"/>
              <w:jc w:val="right"/>
              <w:rPr>
                <w:rFonts w:cs="Arial"/>
                <w:szCs w:val="21"/>
                <w:lang w:val="en-US"/>
              </w:rPr>
            </w:pPr>
            <w:r w:rsidRPr="00E579CB">
              <w:rPr>
                <w:rFonts w:cs="Arial"/>
                <w:szCs w:val="21"/>
                <w:lang w:val="en-US"/>
              </w:rPr>
              <w:t>-</w:t>
            </w:r>
          </w:p>
        </w:tc>
        <w:tc>
          <w:tcPr>
            <w:tcW w:w="1607" w:type="dxa"/>
            <w:tcBorders>
              <w:top w:val="single" w:sz="4" w:space="0" w:color="auto"/>
              <w:bottom w:val="nil"/>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2,497,169</w:t>
            </w:r>
          </w:p>
        </w:tc>
        <w:tc>
          <w:tcPr>
            <w:tcW w:w="1607" w:type="dxa"/>
            <w:gridSpan w:val="2"/>
            <w:tcBorders>
              <w:top w:val="single" w:sz="4" w:space="0" w:color="auto"/>
              <w:bottom w:val="nil"/>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2,497,169</w:t>
            </w:r>
          </w:p>
        </w:tc>
      </w:tr>
      <w:tr w:rsidR="00E579CB" w:rsidRPr="00E579CB" w:rsidTr="00E579CB">
        <w:trPr>
          <w:gridAfter w:val="2"/>
          <w:wAfter w:w="850" w:type="dxa"/>
          <w:trHeight w:val="255"/>
        </w:trPr>
        <w:tc>
          <w:tcPr>
            <w:tcW w:w="4077" w:type="dxa"/>
            <w:shd w:val="clear" w:color="auto" w:fill="auto"/>
            <w:noWrap/>
            <w:vAlign w:val="center"/>
          </w:tcPr>
          <w:p w:rsidR="00E579CB" w:rsidRPr="00E579CB" w:rsidRDefault="00E579CB" w:rsidP="00E579CB">
            <w:pPr>
              <w:spacing w:after="0"/>
              <w:rPr>
                <w:rFonts w:cs="Arial"/>
                <w:szCs w:val="21"/>
                <w:lang w:val="en-US"/>
              </w:rPr>
            </w:pPr>
          </w:p>
        </w:tc>
        <w:tc>
          <w:tcPr>
            <w:tcW w:w="1465" w:type="dxa"/>
            <w:gridSpan w:val="2"/>
            <w:tcBorders>
              <w:top w:val="single" w:sz="4" w:space="0" w:color="auto"/>
            </w:tcBorders>
            <w:vAlign w:val="center"/>
          </w:tcPr>
          <w:p w:rsidR="00E579CB" w:rsidRPr="00E579CB" w:rsidRDefault="00E579CB" w:rsidP="00E579CB">
            <w:pPr>
              <w:spacing w:after="0"/>
              <w:jc w:val="right"/>
              <w:rPr>
                <w:rFonts w:cs="Arial"/>
                <w:szCs w:val="21"/>
                <w:lang w:val="en-US"/>
              </w:rPr>
            </w:pPr>
          </w:p>
        </w:tc>
        <w:tc>
          <w:tcPr>
            <w:tcW w:w="1607" w:type="dxa"/>
            <w:tcBorders>
              <w:top w:val="single" w:sz="4" w:space="0" w:color="auto"/>
            </w:tcBorders>
            <w:vAlign w:val="center"/>
          </w:tcPr>
          <w:p w:rsidR="00E579CB" w:rsidRPr="00E579CB" w:rsidRDefault="00E579CB" w:rsidP="00E579CB">
            <w:pPr>
              <w:spacing w:after="0"/>
              <w:jc w:val="right"/>
              <w:rPr>
                <w:rFonts w:cs="Arial"/>
                <w:szCs w:val="21"/>
                <w:lang w:val="en-US"/>
              </w:rPr>
            </w:pPr>
          </w:p>
        </w:tc>
        <w:tc>
          <w:tcPr>
            <w:tcW w:w="1607" w:type="dxa"/>
            <w:gridSpan w:val="2"/>
            <w:tcBorders>
              <w:top w:val="single" w:sz="4" w:space="0" w:color="auto"/>
            </w:tcBorders>
            <w:vAlign w:val="center"/>
          </w:tcPr>
          <w:p w:rsidR="00E579CB" w:rsidRPr="00E579CB" w:rsidRDefault="00E579CB" w:rsidP="00E579CB">
            <w:pPr>
              <w:spacing w:after="0"/>
              <w:jc w:val="right"/>
              <w:rPr>
                <w:rFonts w:cs="Arial"/>
                <w:szCs w:val="21"/>
                <w:lang w:val="en-US"/>
              </w:rPr>
            </w:pPr>
          </w:p>
        </w:tc>
      </w:tr>
      <w:tr w:rsidR="00E579CB" w:rsidRPr="00E579CB" w:rsidTr="00E579CB">
        <w:trPr>
          <w:gridAfter w:val="2"/>
          <w:wAfter w:w="850" w:type="dxa"/>
          <w:trHeight w:val="255"/>
        </w:trPr>
        <w:tc>
          <w:tcPr>
            <w:tcW w:w="4077" w:type="dxa"/>
            <w:shd w:val="clear" w:color="auto" w:fill="auto"/>
            <w:noWrap/>
            <w:vAlign w:val="center"/>
          </w:tcPr>
          <w:p w:rsidR="00E579CB" w:rsidRPr="00E579CB" w:rsidRDefault="00E579CB" w:rsidP="00E579CB">
            <w:pPr>
              <w:spacing w:after="0"/>
              <w:rPr>
                <w:rFonts w:cs="Arial"/>
                <w:szCs w:val="21"/>
                <w:lang w:val="en-US"/>
              </w:rPr>
            </w:pPr>
            <w:r w:rsidRPr="00E579CB">
              <w:rPr>
                <w:rFonts w:cs="Arial"/>
                <w:szCs w:val="21"/>
                <w:lang w:val="en-US"/>
              </w:rPr>
              <w:t>Balance as at 1 July 2018</w:t>
            </w:r>
          </w:p>
        </w:tc>
        <w:tc>
          <w:tcPr>
            <w:tcW w:w="1465" w:type="dxa"/>
            <w:gridSpan w:val="2"/>
          </w:tcPr>
          <w:p w:rsidR="00E579CB" w:rsidRPr="00E579CB" w:rsidRDefault="00E579CB" w:rsidP="00E579CB">
            <w:pPr>
              <w:spacing w:after="0"/>
              <w:jc w:val="right"/>
              <w:rPr>
                <w:rFonts w:cs="Arial"/>
                <w:szCs w:val="21"/>
                <w:lang w:val="en-US"/>
              </w:rPr>
            </w:pPr>
            <w:r w:rsidRPr="00E579CB">
              <w:rPr>
                <w:rFonts w:cs="Arial"/>
                <w:szCs w:val="21"/>
                <w:lang w:val="en-US"/>
              </w:rPr>
              <w:t>-</w:t>
            </w:r>
          </w:p>
        </w:tc>
        <w:tc>
          <w:tcPr>
            <w:tcW w:w="1607" w:type="dxa"/>
            <w:vAlign w:val="bottom"/>
          </w:tcPr>
          <w:p w:rsidR="00E579CB" w:rsidRPr="00E579CB" w:rsidRDefault="00E579CB" w:rsidP="00E579CB">
            <w:pPr>
              <w:spacing w:after="0"/>
              <w:jc w:val="right"/>
              <w:rPr>
                <w:rFonts w:cs="Arial"/>
                <w:szCs w:val="21"/>
                <w:lang w:val="en-US"/>
              </w:rPr>
            </w:pPr>
            <w:r w:rsidRPr="00E579CB">
              <w:rPr>
                <w:rFonts w:cs="Arial"/>
                <w:szCs w:val="21"/>
                <w:lang w:val="en-US"/>
              </w:rPr>
              <w:t>2,497,169</w:t>
            </w:r>
          </w:p>
        </w:tc>
        <w:tc>
          <w:tcPr>
            <w:tcW w:w="1607" w:type="dxa"/>
            <w:gridSpan w:val="2"/>
            <w:vAlign w:val="bottom"/>
          </w:tcPr>
          <w:p w:rsidR="00E579CB" w:rsidRPr="00E579CB" w:rsidRDefault="00E579CB" w:rsidP="00E579CB">
            <w:pPr>
              <w:spacing w:after="0"/>
              <w:jc w:val="right"/>
              <w:rPr>
                <w:rFonts w:cs="Arial"/>
                <w:szCs w:val="21"/>
                <w:lang w:val="en-US"/>
              </w:rPr>
            </w:pPr>
            <w:r w:rsidRPr="00E579CB">
              <w:rPr>
                <w:rFonts w:cs="Arial"/>
                <w:szCs w:val="21"/>
                <w:lang w:val="en-US"/>
              </w:rPr>
              <w:t>2,497,169</w:t>
            </w:r>
          </w:p>
        </w:tc>
      </w:tr>
      <w:tr w:rsidR="00E579CB" w:rsidRPr="00E579CB" w:rsidTr="00E579CB">
        <w:trPr>
          <w:gridAfter w:val="2"/>
          <w:wAfter w:w="850" w:type="dxa"/>
          <w:trHeight w:val="255"/>
        </w:trPr>
        <w:tc>
          <w:tcPr>
            <w:tcW w:w="4077" w:type="dxa"/>
            <w:shd w:val="clear" w:color="auto" w:fill="auto"/>
            <w:noWrap/>
            <w:vAlign w:val="center"/>
          </w:tcPr>
          <w:p w:rsidR="00E579CB" w:rsidRPr="00E579CB" w:rsidRDefault="00E579CB" w:rsidP="00E579CB">
            <w:pPr>
              <w:spacing w:after="0"/>
              <w:rPr>
                <w:rFonts w:cs="Arial"/>
                <w:szCs w:val="21"/>
                <w:lang w:val="en-US"/>
              </w:rPr>
            </w:pPr>
            <w:r w:rsidRPr="00E579CB">
              <w:rPr>
                <w:rFonts w:cs="Arial"/>
                <w:szCs w:val="21"/>
                <w:lang w:val="en-US"/>
              </w:rPr>
              <w:t>Reallocation between reserves</w:t>
            </w:r>
          </w:p>
        </w:tc>
        <w:tc>
          <w:tcPr>
            <w:tcW w:w="1465" w:type="dxa"/>
            <w:gridSpan w:val="2"/>
            <w:vAlign w:val="center"/>
          </w:tcPr>
          <w:p w:rsidR="00E579CB" w:rsidRPr="00E579CB" w:rsidRDefault="00E579CB" w:rsidP="00E579CB">
            <w:pPr>
              <w:spacing w:after="0"/>
              <w:jc w:val="right"/>
              <w:rPr>
                <w:rFonts w:cs="Arial"/>
                <w:szCs w:val="21"/>
                <w:lang w:val="en-US"/>
              </w:rPr>
            </w:pPr>
            <w:r w:rsidRPr="00E579CB">
              <w:rPr>
                <w:rFonts w:cs="Arial"/>
                <w:szCs w:val="21"/>
                <w:lang w:val="en-US"/>
              </w:rPr>
              <w:t>1,000,000</w:t>
            </w:r>
          </w:p>
        </w:tc>
        <w:tc>
          <w:tcPr>
            <w:tcW w:w="1607" w:type="dxa"/>
            <w:vAlign w:val="center"/>
          </w:tcPr>
          <w:p w:rsidR="00E579CB" w:rsidRPr="00E579CB" w:rsidRDefault="00E579CB" w:rsidP="00E579CB">
            <w:pPr>
              <w:spacing w:after="0"/>
              <w:jc w:val="right"/>
              <w:rPr>
                <w:rFonts w:cs="Arial"/>
                <w:szCs w:val="21"/>
                <w:lang w:val="en-US"/>
              </w:rPr>
            </w:pPr>
            <w:r w:rsidRPr="00E579CB">
              <w:rPr>
                <w:rFonts w:cs="Arial"/>
                <w:szCs w:val="21"/>
                <w:lang w:val="en-US"/>
              </w:rPr>
              <w:t>(1,000,000)</w:t>
            </w:r>
          </w:p>
        </w:tc>
        <w:tc>
          <w:tcPr>
            <w:tcW w:w="1607" w:type="dxa"/>
            <w:gridSpan w:val="2"/>
            <w:vAlign w:val="center"/>
          </w:tcPr>
          <w:p w:rsidR="00E579CB" w:rsidRPr="00E579CB" w:rsidRDefault="00E579CB" w:rsidP="00E579CB">
            <w:pPr>
              <w:spacing w:after="0"/>
              <w:jc w:val="right"/>
              <w:rPr>
                <w:rFonts w:cs="Arial"/>
                <w:szCs w:val="21"/>
                <w:lang w:val="en-US"/>
              </w:rPr>
            </w:pPr>
            <w:r w:rsidRPr="00E579CB">
              <w:rPr>
                <w:rFonts w:cs="Arial"/>
                <w:szCs w:val="21"/>
                <w:lang w:val="en-US"/>
              </w:rPr>
              <w:t>-</w:t>
            </w:r>
          </w:p>
        </w:tc>
      </w:tr>
      <w:tr w:rsidR="00E579CB" w:rsidRPr="00E579CB" w:rsidTr="00E579CB">
        <w:trPr>
          <w:gridAfter w:val="2"/>
          <w:wAfter w:w="850" w:type="dxa"/>
          <w:trHeight w:val="255"/>
        </w:trPr>
        <w:tc>
          <w:tcPr>
            <w:tcW w:w="4077" w:type="dxa"/>
            <w:shd w:val="clear" w:color="auto" w:fill="auto"/>
            <w:noWrap/>
            <w:vAlign w:val="center"/>
          </w:tcPr>
          <w:p w:rsidR="00E579CB" w:rsidRPr="00E579CB" w:rsidRDefault="00E579CB" w:rsidP="00E579CB">
            <w:pPr>
              <w:spacing w:after="0"/>
              <w:rPr>
                <w:rFonts w:cs="Arial"/>
                <w:szCs w:val="21"/>
                <w:lang w:val="en-US"/>
              </w:rPr>
            </w:pPr>
            <w:r w:rsidRPr="00E579CB">
              <w:rPr>
                <w:rFonts w:cs="Arial"/>
                <w:szCs w:val="21"/>
                <w:lang w:val="en-US"/>
              </w:rPr>
              <w:t>Surplus for the year</w:t>
            </w:r>
          </w:p>
        </w:tc>
        <w:tc>
          <w:tcPr>
            <w:tcW w:w="1465" w:type="dxa"/>
            <w:gridSpan w:val="2"/>
            <w:vAlign w:val="center"/>
          </w:tcPr>
          <w:p w:rsidR="00E579CB" w:rsidRPr="00E579CB" w:rsidRDefault="00E579CB" w:rsidP="00E579CB">
            <w:pPr>
              <w:spacing w:after="0"/>
              <w:jc w:val="right"/>
              <w:rPr>
                <w:rFonts w:cs="Arial"/>
                <w:szCs w:val="21"/>
                <w:lang w:val="en-US"/>
              </w:rPr>
            </w:pPr>
            <w:r w:rsidRPr="00E579CB">
              <w:rPr>
                <w:rFonts w:cs="Arial"/>
                <w:szCs w:val="21"/>
                <w:lang w:val="en-US"/>
              </w:rPr>
              <w:t>-</w:t>
            </w:r>
          </w:p>
        </w:tc>
        <w:tc>
          <w:tcPr>
            <w:tcW w:w="1607" w:type="dxa"/>
            <w:vAlign w:val="center"/>
          </w:tcPr>
          <w:p w:rsidR="00E579CB" w:rsidRPr="00E579CB" w:rsidRDefault="00E579CB" w:rsidP="00E579CB">
            <w:pPr>
              <w:spacing w:after="0"/>
              <w:jc w:val="right"/>
              <w:rPr>
                <w:rFonts w:cs="Arial"/>
                <w:szCs w:val="21"/>
                <w:lang w:val="en-US"/>
              </w:rPr>
            </w:pPr>
            <w:r w:rsidRPr="00E579CB">
              <w:rPr>
                <w:rFonts w:cs="Arial"/>
                <w:szCs w:val="21"/>
                <w:lang w:val="en-US"/>
              </w:rPr>
              <w:t>4,550</w:t>
            </w:r>
          </w:p>
        </w:tc>
        <w:tc>
          <w:tcPr>
            <w:tcW w:w="1607" w:type="dxa"/>
            <w:gridSpan w:val="2"/>
            <w:vAlign w:val="center"/>
          </w:tcPr>
          <w:p w:rsidR="00E579CB" w:rsidRPr="00E579CB" w:rsidRDefault="00E579CB" w:rsidP="00E579CB">
            <w:pPr>
              <w:spacing w:after="0"/>
              <w:jc w:val="right"/>
              <w:rPr>
                <w:rFonts w:cs="Arial"/>
                <w:szCs w:val="21"/>
                <w:lang w:val="en-US"/>
              </w:rPr>
            </w:pPr>
            <w:r w:rsidRPr="00E579CB">
              <w:rPr>
                <w:rFonts w:cs="Arial"/>
                <w:szCs w:val="21"/>
                <w:lang w:val="en-US"/>
              </w:rPr>
              <w:t>4,550</w:t>
            </w:r>
          </w:p>
        </w:tc>
      </w:tr>
      <w:tr w:rsidR="00E579CB" w:rsidRPr="00E579CB" w:rsidTr="00E579CB">
        <w:trPr>
          <w:gridAfter w:val="2"/>
          <w:wAfter w:w="850" w:type="dxa"/>
          <w:trHeight w:val="379"/>
        </w:trPr>
        <w:tc>
          <w:tcPr>
            <w:tcW w:w="4077" w:type="dxa"/>
            <w:tcBorders>
              <w:bottom w:val="nil"/>
            </w:tcBorders>
            <w:shd w:val="clear" w:color="auto" w:fill="auto"/>
            <w:noWrap/>
            <w:vAlign w:val="center"/>
          </w:tcPr>
          <w:p w:rsidR="00E579CB" w:rsidRPr="00E579CB" w:rsidRDefault="00E579CB" w:rsidP="00E579CB">
            <w:pPr>
              <w:spacing w:after="0"/>
              <w:rPr>
                <w:rFonts w:cs="Arial"/>
                <w:szCs w:val="21"/>
                <w:lang w:val="en-US"/>
              </w:rPr>
            </w:pPr>
            <w:r w:rsidRPr="00E579CB">
              <w:rPr>
                <w:rFonts w:cs="Arial"/>
                <w:szCs w:val="21"/>
                <w:lang w:val="en-US"/>
              </w:rPr>
              <w:t>Competitive research grant expenditure</w:t>
            </w:r>
          </w:p>
        </w:tc>
        <w:tc>
          <w:tcPr>
            <w:tcW w:w="1465" w:type="dxa"/>
            <w:gridSpan w:val="2"/>
            <w:tcBorders>
              <w:bottom w:val="single" w:sz="4" w:space="0" w:color="auto"/>
            </w:tcBorders>
            <w:vAlign w:val="center"/>
          </w:tcPr>
          <w:p w:rsidR="00E579CB" w:rsidRPr="00E579CB" w:rsidRDefault="00E579CB" w:rsidP="00E579CB">
            <w:pPr>
              <w:spacing w:after="0"/>
              <w:jc w:val="right"/>
              <w:rPr>
                <w:rFonts w:cs="Arial"/>
                <w:szCs w:val="21"/>
                <w:lang w:val="en-US"/>
              </w:rPr>
            </w:pPr>
            <w:r w:rsidRPr="00E579CB">
              <w:rPr>
                <w:rFonts w:cs="Arial"/>
                <w:szCs w:val="21"/>
                <w:lang w:val="en-US"/>
              </w:rPr>
              <w:t>(257,522)</w:t>
            </w:r>
          </w:p>
        </w:tc>
        <w:tc>
          <w:tcPr>
            <w:tcW w:w="1607" w:type="dxa"/>
            <w:tcBorders>
              <w:bottom w:val="single" w:sz="4" w:space="0" w:color="auto"/>
            </w:tcBorders>
            <w:shd w:val="clear" w:color="auto" w:fill="auto"/>
            <w:vAlign w:val="center"/>
          </w:tcPr>
          <w:p w:rsidR="00E579CB" w:rsidRPr="00E579CB" w:rsidRDefault="00E579CB" w:rsidP="00E579CB">
            <w:pPr>
              <w:spacing w:after="0"/>
              <w:jc w:val="right"/>
              <w:rPr>
                <w:rFonts w:cs="Arial"/>
                <w:szCs w:val="21"/>
                <w:lang w:val="en-US"/>
              </w:rPr>
            </w:pPr>
            <w:r w:rsidRPr="00E579CB">
              <w:rPr>
                <w:rFonts w:cs="Arial"/>
                <w:szCs w:val="21"/>
                <w:lang w:val="en-US"/>
              </w:rPr>
              <w:t>257,522</w:t>
            </w:r>
          </w:p>
        </w:tc>
        <w:tc>
          <w:tcPr>
            <w:tcW w:w="1607" w:type="dxa"/>
            <w:gridSpan w:val="2"/>
            <w:tcBorders>
              <w:bottom w:val="single" w:sz="4" w:space="0" w:color="auto"/>
            </w:tcBorders>
            <w:shd w:val="clear" w:color="auto" w:fill="auto"/>
            <w:vAlign w:val="center"/>
          </w:tcPr>
          <w:p w:rsidR="00E579CB" w:rsidRPr="00E579CB" w:rsidRDefault="00E579CB" w:rsidP="00E579CB">
            <w:pPr>
              <w:spacing w:after="0"/>
              <w:jc w:val="right"/>
              <w:rPr>
                <w:rFonts w:cs="Arial"/>
                <w:szCs w:val="21"/>
                <w:lang w:val="en-US"/>
              </w:rPr>
            </w:pPr>
            <w:r w:rsidRPr="00E579CB">
              <w:rPr>
                <w:rFonts w:cs="Arial"/>
                <w:szCs w:val="21"/>
                <w:lang w:val="en-US"/>
              </w:rPr>
              <w:t>-</w:t>
            </w:r>
          </w:p>
        </w:tc>
      </w:tr>
      <w:tr w:rsidR="00E579CB" w:rsidRPr="00E579CB" w:rsidTr="00E579CB">
        <w:trPr>
          <w:gridAfter w:val="2"/>
          <w:wAfter w:w="850" w:type="dxa"/>
          <w:trHeight w:val="255"/>
        </w:trPr>
        <w:tc>
          <w:tcPr>
            <w:tcW w:w="4077" w:type="dxa"/>
            <w:tcBorders>
              <w:top w:val="nil"/>
              <w:bottom w:val="nil"/>
            </w:tcBorders>
            <w:shd w:val="clear" w:color="auto" w:fill="auto"/>
            <w:noWrap/>
            <w:vAlign w:val="bottom"/>
          </w:tcPr>
          <w:p w:rsidR="00E579CB" w:rsidRPr="00E579CB" w:rsidRDefault="00E579CB" w:rsidP="00E579CB">
            <w:pPr>
              <w:spacing w:after="0"/>
              <w:rPr>
                <w:rFonts w:cs="Arial"/>
                <w:szCs w:val="21"/>
                <w:lang w:val="en-US"/>
              </w:rPr>
            </w:pPr>
            <w:r w:rsidRPr="00E579CB">
              <w:rPr>
                <w:rFonts w:cs="Arial"/>
                <w:szCs w:val="21"/>
                <w:lang w:val="en-US"/>
              </w:rPr>
              <w:t>Balance as at 30 June 2019</w:t>
            </w:r>
          </w:p>
        </w:tc>
        <w:tc>
          <w:tcPr>
            <w:tcW w:w="1465" w:type="dxa"/>
            <w:gridSpan w:val="2"/>
            <w:tcBorders>
              <w:top w:val="single" w:sz="4" w:space="0" w:color="auto"/>
              <w:bottom w:val="single" w:sz="4" w:space="0" w:color="auto"/>
            </w:tcBorders>
          </w:tcPr>
          <w:p w:rsidR="00E579CB" w:rsidRPr="00E579CB" w:rsidRDefault="00E579CB" w:rsidP="00E579CB">
            <w:pPr>
              <w:spacing w:after="0"/>
              <w:jc w:val="right"/>
              <w:rPr>
                <w:rFonts w:cs="Arial"/>
                <w:szCs w:val="21"/>
                <w:lang w:val="en-US"/>
              </w:rPr>
            </w:pPr>
            <w:r w:rsidRPr="00E579CB">
              <w:rPr>
                <w:rFonts w:cs="Arial"/>
                <w:szCs w:val="21"/>
                <w:lang w:val="en-US"/>
              </w:rPr>
              <w:t>742,478</w:t>
            </w:r>
          </w:p>
        </w:tc>
        <w:tc>
          <w:tcPr>
            <w:tcW w:w="1607" w:type="dxa"/>
            <w:tcBorders>
              <w:top w:val="single" w:sz="4" w:space="0" w:color="auto"/>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1,759,241</w:t>
            </w:r>
          </w:p>
        </w:tc>
        <w:tc>
          <w:tcPr>
            <w:tcW w:w="1607" w:type="dxa"/>
            <w:gridSpan w:val="2"/>
            <w:tcBorders>
              <w:top w:val="single" w:sz="4" w:space="0" w:color="auto"/>
              <w:bottom w:val="single" w:sz="4" w:space="0" w:color="auto"/>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2,501,719</w:t>
            </w:r>
          </w:p>
        </w:tc>
      </w:tr>
    </w:tbl>
    <w:p w:rsidR="00E579CB" w:rsidRPr="00E579CB" w:rsidRDefault="00E579CB" w:rsidP="00E579CB">
      <w:pPr>
        <w:pStyle w:val="para"/>
        <w:rPr>
          <w:rFonts w:ascii="Helvetica Neue" w:hAnsi="Helvetica Neue"/>
          <w:color w:val="000000"/>
          <w:sz w:val="21"/>
          <w:szCs w:val="21"/>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pStyle w:val="para"/>
        <w:rPr>
          <w:rFonts w:ascii="Helvetica Neue" w:hAnsi="Helvetica Neue"/>
          <w:i/>
          <w:sz w:val="21"/>
          <w:szCs w:val="21"/>
          <w:lang w:val="en-US"/>
        </w:rPr>
      </w:pPr>
    </w:p>
    <w:p w:rsidR="00E579CB" w:rsidRPr="00E579CB" w:rsidRDefault="00E579CB" w:rsidP="00E579CB">
      <w:pPr>
        <w:spacing w:after="0"/>
        <w:rPr>
          <w:rFonts w:cs="Arial"/>
          <w:i/>
          <w:szCs w:val="21"/>
          <w:lang w:val="en-US"/>
        </w:rPr>
      </w:pPr>
      <w:r w:rsidRPr="00E579CB">
        <w:rPr>
          <w:rFonts w:cs="Arial"/>
          <w:i/>
          <w:szCs w:val="21"/>
          <w:lang w:val="en-US"/>
        </w:rPr>
        <w:t>The above Statement of Changes in Equity should be read in conjunction with the accompanying notes.</w:t>
      </w:r>
    </w:p>
    <w:p w:rsidR="00E579CB" w:rsidRPr="00E579CB" w:rsidRDefault="00E579CB" w:rsidP="00E579CB">
      <w:pPr>
        <w:spacing w:after="0"/>
        <w:rPr>
          <w:rFonts w:cs="Arial"/>
          <w:b/>
          <w:bCs/>
          <w:szCs w:val="21"/>
          <w:lang w:val="en-US"/>
        </w:rPr>
      </w:pPr>
      <w:r w:rsidRPr="00E579CB">
        <w:rPr>
          <w:rFonts w:cs="Arial"/>
          <w:i/>
          <w:szCs w:val="21"/>
          <w:lang w:val="en-US"/>
        </w:rPr>
        <w:br w:type="column"/>
      </w:r>
      <w:r w:rsidRPr="00E579CB">
        <w:rPr>
          <w:rFonts w:cs="Arial"/>
          <w:b/>
          <w:bCs/>
          <w:szCs w:val="21"/>
          <w:lang w:val="en-US"/>
        </w:rPr>
        <w:lastRenderedPageBreak/>
        <w:t>Statement of Cash Flows</w:t>
      </w:r>
    </w:p>
    <w:tbl>
      <w:tblPr>
        <w:tblW w:w="8897" w:type="dxa"/>
        <w:tblInd w:w="-108" w:type="dxa"/>
        <w:tblLayout w:type="fixed"/>
        <w:tblLook w:val="0000" w:firstRow="0" w:lastRow="0" w:firstColumn="0" w:lastColumn="0" w:noHBand="0" w:noVBand="0"/>
      </w:tblPr>
      <w:tblGrid>
        <w:gridCol w:w="1120"/>
        <w:gridCol w:w="999"/>
        <w:gridCol w:w="492"/>
        <w:gridCol w:w="265"/>
        <w:gridCol w:w="241"/>
        <w:gridCol w:w="1019"/>
        <w:gridCol w:w="610"/>
        <w:gridCol w:w="241"/>
        <w:gridCol w:w="933"/>
        <w:gridCol w:w="1418"/>
        <w:gridCol w:w="1559"/>
      </w:tblGrid>
      <w:tr w:rsidR="00E579CB" w:rsidRPr="00E579CB" w:rsidTr="00E579CB">
        <w:trPr>
          <w:trHeight w:val="315"/>
        </w:trPr>
        <w:tc>
          <w:tcPr>
            <w:tcW w:w="8897" w:type="dxa"/>
            <w:gridSpan w:val="11"/>
            <w:tcBorders>
              <w:top w:val="nil"/>
              <w:left w:val="nil"/>
              <w:bottom w:val="nil"/>
              <w:right w:val="nil"/>
            </w:tcBorders>
            <w:shd w:val="clear" w:color="auto" w:fill="auto"/>
            <w:noWrap/>
            <w:vAlign w:val="bottom"/>
          </w:tcPr>
          <w:p w:rsidR="00E579CB" w:rsidRPr="00E579CB" w:rsidRDefault="00E579CB" w:rsidP="00E579CB">
            <w:pPr>
              <w:spacing w:after="0"/>
              <w:rPr>
                <w:i/>
                <w:szCs w:val="21"/>
                <w:lang w:val="en-US"/>
              </w:rPr>
            </w:pPr>
            <w:r w:rsidRPr="00E579CB">
              <w:rPr>
                <w:rFonts w:cs="Arial"/>
                <w:b/>
                <w:bCs/>
                <w:szCs w:val="21"/>
                <w:lang w:val="en-US"/>
              </w:rPr>
              <w:t>For the year ended 30 June 2019</w:t>
            </w:r>
          </w:p>
        </w:tc>
      </w:tr>
      <w:tr w:rsidR="00E579CB" w:rsidRPr="00E579CB" w:rsidTr="00E579CB">
        <w:trPr>
          <w:trHeight w:val="300"/>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b/>
                <w:bCs/>
                <w:szCs w:val="21"/>
                <w:lang w:val="en-US"/>
              </w:rPr>
            </w:pP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
                <w:bCs/>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
                <w:bCs/>
                <w:szCs w:val="21"/>
                <w:lang w:val="en-US"/>
              </w:rPr>
            </w:pPr>
          </w:p>
        </w:tc>
        <w:tc>
          <w:tcPr>
            <w:tcW w:w="1559"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Cs/>
                <w:szCs w:val="21"/>
                <w:lang w:val="en-US"/>
              </w:rPr>
            </w:pPr>
          </w:p>
        </w:tc>
      </w:tr>
      <w:tr w:rsidR="00E579CB" w:rsidRPr="00E579CB" w:rsidTr="00E579CB">
        <w:trPr>
          <w:trHeight w:val="300"/>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b/>
                <w:bCs/>
                <w:szCs w:val="21"/>
                <w:lang w:val="en-US"/>
              </w:rPr>
            </w:pPr>
            <w:r w:rsidRPr="00E579CB">
              <w:rPr>
                <w:rFonts w:cs="Arial"/>
                <w:b/>
                <w:bCs/>
                <w:szCs w:val="21"/>
                <w:lang w:val="en-US"/>
              </w:rPr>
              <w:t>Cash flows from operating activities</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
                <w:bCs/>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
                <w:szCs w:val="21"/>
                <w:lang w:val="en-US"/>
              </w:rPr>
            </w:pPr>
            <w:r w:rsidRPr="00E579CB">
              <w:rPr>
                <w:rFonts w:cs="Arial"/>
                <w:b/>
                <w:szCs w:val="21"/>
                <w:lang w:val="en-US"/>
              </w:rPr>
              <w:t>Notes</w:t>
            </w:r>
          </w:p>
        </w:tc>
        <w:tc>
          <w:tcPr>
            <w:tcW w:w="1418"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
                <w:bCs/>
                <w:szCs w:val="21"/>
                <w:lang w:val="en-US"/>
              </w:rPr>
            </w:pPr>
            <w:r w:rsidRPr="00E579CB">
              <w:rPr>
                <w:rFonts w:cs="Arial"/>
                <w:b/>
                <w:bCs/>
                <w:szCs w:val="21"/>
                <w:lang w:val="en-US"/>
              </w:rPr>
              <w:t>2019</w:t>
            </w:r>
          </w:p>
        </w:tc>
        <w:tc>
          <w:tcPr>
            <w:tcW w:w="1559"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
                <w:bCs/>
                <w:szCs w:val="21"/>
                <w:lang w:val="en-US"/>
              </w:rPr>
            </w:pPr>
            <w:r w:rsidRPr="00E579CB">
              <w:rPr>
                <w:rFonts w:cs="Arial"/>
                <w:b/>
                <w:bCs/>
                <w:szCs w:val="21"/>
                <w:lang w:val="en-US"/>
              </w:rPr>
              <w:t>2018</w:t>
            </w:r>
          </w:p>
        </w:tc>
      </w:tr>
      <w:tr w:rsidR="00E579CB" w:rsidRPr="00E579CB" w:rsidTr="00E579CB">
        <w:trPr>
          <w:trHeight w:val="300"/>
        </w:trPr>
        <w:tc>
          <w:tcPr>
            <w:tcW w:w="1120"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1756" w:type="dxa"/>
            <w:gridSpan w:val="3"/>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
                <w:bCs/>
                <w:szCs w:val="21"/>
                <w:lang w:val="en-US"/>
              </w:rPr>
            </w:pP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
                <w:bCs/>
                <w:szCs w:val="21"/>
                <w:lang w:val="en-US"/>
              </w:rPr>
            </w:pPr>
          </w:p>
        </w:tc>
        <w:tc>
          <w:tcPr>
            <w:tcW w:w="1019"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
                <w:bCs/>
                <w:szCs w:val="21"/>
                <w:lang w:val="en-US"/>
              </w:rPr>
            </w:pPr>
          </w:p>
        </w:tc>
        <w:tc>
          <w:tcPr>
            <w:tcW w:w="610"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
                <w:bCs/>
                <w:szCs w:val="21"/>
                <w:lang w:val="en-US"/>
              </w:rPr>
            </w:pP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
                <w:bCs/>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1418"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
                <w:bCs/>
                <w:szCs w:val="21"/>
                <w:lang w:val="en-US"/>
              </w:rPr>
            </w:pPr>
            <w:r w:rsidRPr="00E579CB">
              <w:rPr>
                <w:rFonts w:cs="Arial"/>
                <w:bCs/>
                <w:szCs w:val="21"/>
                <w:lang w:val="en-US"/>
              </w:rPr>
              <w:t>$</w:t>
            </w:r>
          </w:p>
        </w:tc>
        <w:tc>
          <w:tcPr>
            <w:tcW w:w="1559"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Cs/>
                <w:szCs w:val="21"/>
                <w:lang w:val="en-US"/>
              </w:rPr>
            </w:pPr>
            <w:r w:rsidRPr="00E579CB">
              <w:rPr>
                <w:rFonts w:cs="Arial"/>
                <w:bCs/>
                <w:szCs w:val="21"/>
                <w:lang w:val="en-US"/>
              </w:rPr>
              <w:t>$</w:t>
            </w:r>
          </w:p>
        </w:tc>
      </w:tr>
      <w:tr w:rsidR="00E579CB" w:rsidRPr="00E579CB" w:rsidTr="00E579CB">
        <w:trPr>
          <w:trHeight w:val="255"/>
        </w:trPr>
        <w:tc>
          <w:tcPr>
            <w:tcW w:w="2876" w:type="dxa"/>
            <w:gridSpan w:val="4"/>
            <w:tcBorders>
              <w:top w:val="nil"/>
              <w:left w:val="nil"/>
              <w:bottom w:val="nil"/>
              <w:right w:val="nil"/>
            </w:tcBorders>
            <w:shd w:val="clear" w:color="auto" w:fill="auto"/>
            <w:noWrap/>
            <w:vAlign w:val="bottom"/>
          </w:tcPr>
          <w:p w:rsidR="00E579CB" w:rsidRPr="00E579CB" w:rsidRDefault="00E579CB" w:rsidP="00E579CB">
            <w:pPr>
              <w:spacing w:after="0"/>
              <w:rPr>
                <w:rFonts w:cs="Arial"/>
                <w:i/>
                <w:iCs/>
                <w:szCs w:val="21"/>
                <w:lang w:val="en-US"/>
              </w:rPr>
            </w:pPr>
            <w:r w:rsidRPr="00E579CB">
              <w:rPr>
                <w:rFonts w:cs="Arial"/>
                <w:i/>
                <w:iCs/>
                <w:szCs w:val="21"/>
                <w:lang w:val="en-US"/>
              </w:rPr>
              <w:t>Receipts</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1019"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610"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1559"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r>
      <w:tr w:rsidR="00E579CB" w:rsidRPr="00E579CB" w:rsidTr="00E579CB">
        <w:trPr>
          <w:trHeight w:val="255"/>
        </w:trPr>
        <w:tc>
          <w:tcPr>
            <w:tcW w:w="4136" w:type="dxa"/>
            <w:gridSpan w:val="6"/>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r w:rsidRPr="00E579CB">
              <w:rPr>
                <w:rFonts w:cs="Arial"/>
                <w:szCs w:val="21"/>
                <w:lang w:val="en-US"/>
              </w:rPr>
              <w:t>Donations</w:t>
            </w:r>
          </w:p>
        </w:tc>
        <w:tc>
          <w:tcPr>
            <w:tcW w:w="610"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b/>
                <w:color w:val="000000"/>
                <w:szCs w:val="21"/>
                <w:lang w:val="en-US"/>
              </w:rPr>
            </w:pP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120,414</w:t>
            </w:r>
          </w:p>
        </w:tc>
        <w:tc>
          <w:tcPr>
            <w:tcW w:w="1559"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747,920</w:t>
            </w:r>
          </w:p>
        </w:tc>
      </w:tr>
      <w:tr w:rsidR="00E579CB" w:rsidRPr="00E579CB" w:rsidTr="00E579CB">
        <w:trPr>
          <w:trHeight w:val="255"/>
        </w:trPr>
        <w:tc>
          <w:tcPr>
            <w:tcW w:w="4136" w:type="dxa"/>
            <w:gridSpan w:val="6"/>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r w:rsidRPr="00E579CB">
              <w:rPr>
                <w:rFonts w:cs="Arial"/>
                <w:szCs w:val="21"/>
                <w:lang w:val="en-US"/>
              </w:rPr>
              <w:t>Philanthropic grants</w:t>
            </w:r>
          </w:p>
        </w:tc>
        <w:tc>
          <w:tcPr>
            <w:tcW w:w="610"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b/>
                <w:color w:val="000000"/>
                <w:szCs w:val="21"/>
                <w:lang w:val="en-US"/>
              </w:rPr>
            </w:pP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4,496,506</w:t>
            </w:r>
          </w:p>
        </w:tc>
        <w:tc>
          <w:tcPr>
            <w:tcW w:w="1559"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4,208,823</w:t>
            </w:r>
          </w:p>
        </w:tc>
      </w:tr>
      <w:tr w:rsidR="00E579CB" w:rsidRPr="00E579CB" w:rsidTr="00E579CB">
        <w:trPr>
          <w:trHeight w:val="255"/>
        </w:trPr>
        <w:tc>
          <w:tcPr>
            <w:tcW w:w="4136" w:type="dxa"/>
            <w:gridSpan w:val="6"/>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r w:rsidRPr="00E579CB">
              <w:rPr>
                <w:rFonts w:cs="Arial"/>
                <w:szCs w:val="21"/>
                <w:lang w:val="en-US"/>
              </w:rPr>
              <w:t>Government grants</w:t>
            </w:r>
          </w:p>
        </w:tc>
        <w:tc>
          <w:tcPr>
            <w:tcW w:w="610"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b/>
                <w:color w:val="000000"/>
                <w:szCs w:val="21"/>
                <w:lang w:val="en-US"/>
              </w:rPr>
            </w:pP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169,010</w:t>
            </w:r>
          </w:p>
        </w:tc>
        <w:tc>
          <w:tcPr>
            <w:tcW w:w="1559"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155,000</w:t>
            </w: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b/>
                <w:color w:val="000000"/>
                <w:szCs w:val="21"/>
                <w:lang w:val="en-US"/>
              </w:rPr>
            </w:pPr>
            <w:r w:rsidRPr="00E579CB">
              <w:rPr>
                <w:rFonts w:cs="Arial"/>
                <w:szCs w:val="21"/>
                <w:lang w:val="en-US"/>
              </w:rPr>
              <w:t>Other receipts</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1,986,032</w:t>
            </w:r>
          </w:p>
        </w:tc>
        <w:tc>
          <w:tcPr>
            <w:tcW w:w="1559"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288,418</w:t>
            </w: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r w:rsidRPr="00E579CB">
              <w:rPr>
                <w:rFonts w:cs="Arial"/>
                <w:szCs w:val="21"/>
                <w:lang w:val="en-US"/>
              </w:rPr>
              <w:t>Interest received</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color w:val="000000"/>
                <w:szCs w:val="21"/>
                <w:lang w:val="en-US"/>
              </w:rPr>
            </w:pPr>
            <w:r w:rsidRPr="00E579CB">
              <w:rPr>
                <w:rFonts w:cs="Arial"/>
                <w:color w:val="000000"/>
                <w:szCs w:val="21"/>
                <w:lang w:val="en-US"/>
              </w:rPr>
              <w:t>4,803</w:t>
            </w:r>
          </w:p>
        </w:tc>
        <w:tc>
          <w:tcPr>
            <w:tcW w:w="1559"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color w:val="000000"/>
                <w:szCs w:val="21"/>
                <w:lang w:val="en-US"/>
              </w:rPr>
            </w:pPr>
            <w:r w:rsidRPr="00E579CB">
              <w:rPr>
                <w:rFonts w:cs="Arial"/>
                <w:color w:val="000000"/>
                <w:szCs w:val="21"/>
                <w:lang w:val="en-US"/>
              </w:rPr>
              <w:t>8,216</w:t>
            </w: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r w:rsidRPr="00E579CB">
              <w:rPr>
                <w:rFonts w:cs="Arial"/>
                <w:szCs w:val="21"/>
                <w:lang w:val="en-US"/>
              </w:rPr>
              <w:t>Rent received</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color w:val="000000"/>
                <w:szCs w:val="21"/>
                <w:lang w:val="en-US"/>
              </w:rPr>
            </w:pPr>
            <w:r w:rsidRPr="00E579CB">
              <w:rPr>
                <w:rFonts w:cs="Arial"/>
                <w:color w:val="000000"/>
                <w:szCs w:val="21"/>
                <w:lang w:val="en-US"/>
              </w:rPr>
              <w:t>-</w:t>
            </w:r>
          </w:p>
        </w:tc>
        <w:tc>
          <w:tcPr>
            <w:tcW w:w="1559"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color w:val="000000"/>
                <w:szCs w:val="21"/>
                <w:lang w:val="en-US"/>
              </w:rPr>
            </w:pPr>
            <w:r w:rsidRPr="00E579CB">
              <w:rPr>
                <w:rFonts w:cs="Arial"/>
                <w:color w:val="000000"/>
                <w:szCs w:val="21"/>
                <w:lang w:val="en-US"/>
              </w:rPr>
              <w:t>67,046</w:t>
            </w:r>
          </w:p>
        </w:tc>
      </w:tr>
      <w:tr w:rsidR="00E579CB" w:rsidRPr="00E579CB" w:rsidTr="00E579CB">
        <w:trPr>
          <w:trHeight w:val="255"/>
        </w:trPr>
        <w:tc>
          <w:tcPr>
            <w:tcW w:w="2611" w:type="dxa"/>
            <w:gridSpan w:val="3"/>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265"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1019"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610" w:type="dxa"/>
            <w:tcBorders>
              <w:top w:val="nil"/>
              <w:left w:val="nil"/>
              <w:bottom w:val="nil"/>
              <w:right w:val="nil"/>
            </w:tcBorders>
            <w:shd w:val="clear" w:color="auto" w:fill="auto"/>
            <w:noWrap/>
            <w:vAlign w:val="bottom"/>
          </w:tcPr>
          <w:p w:rsidR="00E579CB" w:rsidRPr="00E579CB" w:rsidRDefault="00E579CB" w:rsidP="00E579CB">
            <w:pPr>
              <w:spacing w:after="0"/>
              <w:rPr>
                <w:rFonts w:cs="Arial"/>
                <w:b/>
                <w:color w:val="000000"/>
                <w:szCs w:val="21"/>
                <w:lang w:val="en-US"/>
              </w:rPr>
            </w:pP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b/>
                <w:color w:val="000000"/>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bottom w:val="nil"/>
              <w:right w:val="nil"/>
            </w:tcBorders>
            <w:shd w:val="clear" w:color="auto" w:fill="auto"/>
            <w:noWrap/>
            <w:vAlign w:val="bottom"/>
          </w:tcPr>
          <w:p w:rsidR="00E579CB" w:rsidRPr="00E579CB" w:rsidRDefault="00E579CB" w:rsidP="00E579CB">
            <w:pPr>
              <w:spacing w:after="0"/>
              <w:rPr>
                <w:rFonts w:cs="Arial"/>
                <w:color w:val="000000"/>
                <w:szCs w:val="21"/>
                <w:lang w:val="en-US"/>
              </w:rPr>
            </w:pPr>
          </w:p>
        </w:tc>
        <w:tc>
          <w:tcPr>
            <w:tcW w:w="1559" w:type="dxa"/>
            <w:tcBorders>
              <w:top w:val="nil"/>
              <w:left w:val="nil"/>
              <w:bottom w:val="nil"/>
              <w:right w:val="nil"/>
            </w:tcBorders>
            <w:shd w:val="clear" w:color="auto" w:fill="auto"/>
            <w:noWrap/>
            <w:vAlign w:val="bottom"/>
          </w:tcPr>
          <w:p w:rsidR="00E579CB" w:rsidRPr="00E579CB" w:rsidRDefault="00E579CB" w:rsidP="00E579CB">
            <w:pPr>
              <w:spacing w:after="0"/>
              <w:rPr>
                <w:rFonts w:cs="Arial"/>
                <w:color w:val="000000"/>
                <w:szCs w:val="21"/>
                <w:highlight w:val="magenta"/>
                <w:lang w:val="en-US"/>
              </w:rPr>
            </w:pPr>
          </w:p>
        </w:tc>
      </w:tr>
      <w:tr w:rsidR="00E579CB" w:rsidRPr="00E579CB" w:rsidTr="00E579CB">
        <w:trPr>
          <w:trHeight w:val="255"/>
        </w:trPr>
        <w:tc>
          <w:tcPr>
            <w:tcW w:w="2611" w:type="dxa"/>
            <w:gridSpan w:val="3"/>
            <w:tcBorders>
              <w:top w:val="nil"/>
              <w:left w:val="nil"/>
              <w:bottom w:val="nil"/>
              <w:right w:val="nil"/>
            </w:tcBorders>
            <w:shd w:val="clear" w:color="auto" w:fill="auto"/>
            <w:noWrap/>
            <w:vAlign w:val="bottom"/>
          </w:tcPr>
          <w:p w:rsidR="00E579CB" w:rsidRPr="00E579CB" w:rsidRDefault="00E579CB" w:rsidP="00E579CB">
            <w:pPr>
              <w:spacing w:after="0"/>
              <w:rPr>
                <w:rFonts w:cs="Arial"/>
                <w:i/>
                <w:iCs/>
                <w:szCs w:val="21"/>
                <w:lang w:val="en-US"/>
              </w:rPr>
            </w:pPr>
            <w:r w:rsidRPr="00E579CB">
              <w:rPr>
                <w:rFonts w:cs="Arial"/>
                <w:i/>
                <w:iCs/>
                <w:szCs w:val="21"/>
                <w:lang w:val="en-US"/>
              </w:rPr>
              <w:t>Payments</w:t>
            </w:r>
          </w:p>
        </w:tc>
        <w:tc>
          <w:tcPr>
            <w:tcW w:w="265"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1019"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610"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b/>
                <w:color w:val="000000"/>
                <w:szCs w:val="21"/>
                <w:lang w:val="en-US"/>
              </w:rPr>
            </w:pP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b/>
                <w:color w:val="000000"/>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color w:val="000000"/>
                <w:szCs w:val="21"/>
                <w:lang w:val="en-US"/>
              </w:rPr>
            </w:pPr>
          </w:p>
        </w:tc>
        <w:tc>
          <w:tcPr>
            <w:tcW w:w="1559"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color w:val="000000"/>
                <w:szCs w:val="21"/>
                <w:highlight w:val="magenta"/>
                <w:lang w:val="en-US"/>
              </w:rPr>
            </w:pPr>
          </w:p>
        </w:tc>
      </w:tr>
      <w:tr w:rsidR="00E579CB" w:rsidRPr="00E579CB" w:rsidTr="00E579CB">
        <w:trPr>
          <w:trHeight w:val="255"/>
        </w:trPr>
        <w:tc>
          <w:tcPr>
            <w:tcW w:w="3117" w:type="dxa"/>
            <w:gridSpan w:val="5"/>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r w:rsidRPr="00E579CB">
              <w:rPr>
                <w:rFonts w:cs="Arial"/>
                <w:szCs w:val="21"/>
                <w:lang w:val="en-US"/>
              </w:rPr>
              <w:t>Suppliers &amp; employees</w:t>
            </w:r>
          </w:p>
        </w:tc>
        <w:tc>
          <w:tcPr>
            <w:tcW w:w="1019"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610"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b/>
                <w:color w:val="000000"/>
                <w:szCs w:val="21"/>
                <w:lang w:val="en-US"/>
              </w:rPr>
            </w:pPr>
          </w:p>
        </w:tc>
        <w:tc>
          <w:tcPr>
            <w:tcW w:w="1418"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color w:val="000000"/>
                <w:szCs w:val="21"/>
                <w:lang w:val="en-US"/>
              </w:rPr>
            </w:pPr>
            <w:r w:rsidRPr="00E579CB">
              <w:rPr>
                <w:rFonts w:cs="Arial"/>
                <w:color w:val="000000"/>
                <w:szCs w:val="21"/>
                <w:lang w:val="en-US"/>
              </w:rPr>
              <w:t>(5,450,163)</w:t>
            </w:r>
          </w:p>
        </w:tc>
        <w:tc>
          <w:tcPr>
            <w:tcW w:w="1559" w:type="dxa"/>
            <w:tcBorders>
              <w:top w:val="nil"/>
              <w:left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(4,728,081)</w:t>
            </w:r>
          </w:p>
        </w:tc>
      </w:tr>
      <w:tr w:rsidR="00E579CB" w:rsidRPr="00E579CB" w:rsidTr="00E579CB">
        <w:trPr>
          <w:trHeight w:val="255"/>
        </w:trPr>
        <w:tc>
          <w:tcPr>
            <w:tcW w:w="4746" w:type="dxa"/>
            <w:gridSpan w:val="7"/>
            <w:tcBorders>
              <w:top w:val="nil"/>
              <w:left w:val="nil"/>
              <w:right w:val="nil"/>
            </w:tcBorders>
            <w:shd w:val="clear" w:color="auto" w:fill="auto"/>
            <w:noWrap/>
            <w:vAlign w:val="bottom"/>
          </w:tcPr>
          <w:p w:rsidR="00E579CB" w:rsidRPr="00E579CB" w:rsidRDefault="00E579CB" w:rsidP="00E579CB">
            <w:pPr>
              <w:spacing w:after="0"/>
              <w:rPr>
                <w:rFonts w:cs="Arial"/>
                <w:b/>
                <w:iCs/>
                <w:szCs w:val="21"/>
                <w:lang w:val="en-US"/>
              </w:rPr>
            </w:pPr>
            <w:r w:rsidRPr="00E579CB">
              <w:rPr>
                <w:rFonts w:cs="Arial"/>
                <w:b/>
                <w:iCs/>
                <w:szCs w:val="21"/>
                <w:lang w:val="en-US"/>
              </w:rPr>
              <w:t>Net cash inflow from operating activities</w:t>
            </w:r>
          </w:p>
        </w:tc>
        <w:tc>
          <w:tcPr>
            <w:tcW w:w="241" w:type="dxa"/>
            <w:tcBorders>
              <w:top w:val="nil"/>
              <w:left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933" w:type="dxa"/>
            <w:tcBorders>
              <w:left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single" w:sz="4" w:space="0" w:color="auto"/>
              <w:left w:val="nil"/>
              <w:bottom w:val="single" w:sz="4" w:space="0" w:color="auto"/>
              <w:right w:val="nil"/>
            </w:tcBorders>
            <w:shd w:val="clear" w:color="auto" w:fill="auto"/>
            <w:noWrap/>
            <w:vAlign w:val="bottom"/>
          </w:tcPr>
          <w:p w:rsidR="00E579CB" w:rsidRPr="00E579CB" w:rsidRDefault="00E579CB" w:rsidP="00E579CB">
            <w:pPr>
              <w:spacing w:after="0"/>
              <w:jc w:val="right"/>
              <w:rPr>
                <w:rFonts w:cs="Arial"/>
                <w:color w:val="000000"/>
                <w:szCs w:val="21"/>
                <w:lang w:val="en-US"/>
              </w:rPr>
            </w:pPr>
            <w:r w:rsidRPr="00E579CB">
              <w:rPr>
                <w:rFonts w:cs="Arial"/>
                <w:color w:val="000000"/>
                <w:szCs w:val="21"/>
                <w:lang w:val="en-US"/>
              </w:rPr>
              <w:t>1,326,602</w:t>
            </w:r>
          </w:p>
        </w:tc>
        <w:tc>
          <w:tcPr>
            <w:tcW w:w="1559" w:type="dxa"/>
            <w:tcBorders>
              <w:top w:val="single" w:sz="4" w:space="0" w:color="auto"/>
              <w:left w:val="nil"/>
              <w:bottom w:val="single" w:sz="4" w:space="0" w:color="auto"/>
              <w:right w:val="nil"/>
            </w:tcBorders>
            <w:shd w:val="clear" w:color="auto" w:fill="auto"/>
            <w:noWrap/>
            <w:vAlign w:val="bottom"/>
          </w:tcPr>
          <w:p w:rsidR="00E579CB" w:rsidRPr="00E579CB" w:rsidRDefault="00E579CB" w:rsidP="00E579CB">
            <w:pPr>
              <w:spacing w:after="0"/>
              <w:jc w:val="right"/>
              <w:rPr>
                <w:rFonts w:cs="Arial"/>
                <w:color w:val="000000"/>
                <w:szCs w:val="21"/>
                <w:lang w:val="en-US"/>
              </w:rPr>
            </w:pPr>
            <w:r w:rsidRPr="00E579CB">
              <w:rPr>
                <w:rFonts w:cs="Arial"/>
                <w:color w:val="000000"/>
                <w:szCs w:val="21"/>
                <w:lang w:val="en-US"/>
              </w:rPr>
              <w:t>747,342</w:t>
            </w:r>
          </w:p>
        </w:tc>
      </w:tr>
      <w:tr w:rsidR="00E579CB" w:rsidRPr="00E579CB" w:rsidTr="00E579CB">
        <w:trPr>
          <w:trHeight w:val="255"/>
        </w:trPr>
        <w:tc>
          <w:tcPr>
            <w:tcW w:w="1120" w:type="dxa"/>
            <w:tcBorders>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99" w:type="dxa"/>
            <w:tcBorders>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98" w:type="dxa"/>
            <w:gridSpan w:val="3"/>
            <w:tcBorders>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1019" w:type="dxa"/>
            <w:tcBorders>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610" w:type="dxa"/>
            <w:tcBorders>
              <w:left w:val="nil"/>
              <w:bottom w:val="nil"/>
              <w:right w:val="nil"/>
            </w:tcBorders>
            <w:shd w:val="clear" w:color="auto" w:fill="auto"/>
            <w:noWrap/>
            <w:vAlign w:val="bottom"/>
          </w:tcPr>
          <w:p w:rsidR="00E579CB" w:rsidRPr="00E579CB" w:rsidRDefault="00E579CB" w:rsidP="00E579CB">
            <w:pPr>
              <w:spacing w:after="0"/>
              <w:rPr>
                <w:rFonts w:cs="Arial"/>
                <w:b/>
                <w:szCs w:val="21"/>
                <w:highlight w:val="yellow"/>
                <w:lang w:val="en-US"/>
              </w:rPr>
            </w:pPr>
          </w:p>
        </w:tc>
        <w:tc>
          <w:tcPr>
            <w:tcW w:w="241" w:type="dxa"/>
            <w:tcBorders>
              <w:left w:val="nil"/>
              <w:bottom w:val="nil"/>
              <w:right w:val="nil"/>
            </w:tcBorders>
            <w:shd w:val="clear" w:color="auto" w:fill="auto"/>
            <w:noWrap/>
            <w:vAlign w:val="bottom"/>
          </w:tcPr>
          <w:p w:rsidR="00E579CB" w:rsidRPr="00E579CB" w:rsidRDefault="00E579CB" w:rsidP="00E579CB">
            <w:pPr>
              <w:spacing w:after="0"/>
              <w:rPr>
                <w:rFonts w:cs="Arial"/>
                <w:b/>
                <w:szCs w:val="21"/>
                <w:highlight w:val="yellow"/>
                <w:lang w:val="en-US"/>
              </w:rPr>
            </w:pPr>
          </w:p>
        </w:tc>
        <w:tc>
          <w:tcPr>
            <w:tcW w:w="933" w:type="dxa"/>
            <w:tcBorders>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single" w:sz="4" w:space="0" w:color="auto"/>
              <w:left w:val="nil"/>
              <w:bottom w:val="nil"/>
              <w:right w:val="nil"/>
            </w:tcBorders>
            <w:shd w:val="clear" w:color="auto" w:fill="auto"/>
            <w:noWrap/>
            <w:vAlign w:val="bottom"/>
          </w:tcPr>
          <w:p w:rsidR="00E579CB" w:rsidRPr="00E579CB" w:rsidRDefault="00E579CB" w:rsidP="00E579CB">
            <w:pPr>
              <w:spacing w:after="0"/>
              <w:rPr>
                <w:rFonts w:cs="Arial"/>
                <w:b/>
                <w:szCs w:val="21"/>
                <w:highlight w:val="yellow"/>
                <w:lang w:val="en-US"/>
              </w:rPr>
            </w:pPr>
          </w:p>
        </w:tc>
        <w:tc>
          <w:tcPr>
            <w:tcW w:w="1559" w:type="dxa"/>
            <w:tcBorders>
              <w:top w:val="single" w:sz="4" w:space="0" w:color="auto"/>
              <w:left w:val="nil"/>
              <w:bottom w:val="nil"/>
              <w:right w:val="nil"/>
            </w:tcBorders>
            <w:shd w:val="clear" w:color="auto" w:fill="auto"/>
            <w:noWrap/>
            <w:vAlign w:val="bottom"/>
          </w:tcPr>
          <w:p w:rsidR="00E579CB" w:rsidRPr="00E579CB" w:rsidRDefault="00E579CB" w:rsidP="00E579CB">
            <w:pPr>
              <w:spacing w:after="0"/>
              <w:rPr>
                <w:rFonts w:cs="Arial"/>
                <w:szCs w:val="21"/>
                <w:highlight w:val="yellow"/>
                <w:lang w:val="en-US"/>
              </w:rPr>
            </w:pP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b/>
                <w:bCs/>
                <w:szCs w:val="21"/>
                <w:lang w:val="en-US"/>
              </w:rPr>
            </w:pPr>
            <w:r w:rsidRPr="00E579CB">
              <w:rPr>
                <w:rFonts w:cs="Arial"/>
                <w:b/>
                <w:bCs/>
                <w:szCs w:val="21"/>
                <w:lang w:val="en-US"/>
              </w:rPr>
              <w:t>Cash flows from investing activities</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right w:val="nil"/>
            </w:tcBorders>
            <w:shd w:val="clear" w:color="auto" w:fill="auto"/>
            <w:noWrap/>
            <w:vAlign w:val="bottom"/>
          </w:tcPr>
          <w:p w:rsidR="00E579CB" w:rsidRPr="00E579CB" w:rsidRDefault="00E579CB" w:rsidP="00E579CB">
            <w:pPr>
              <w:spacing w:after="0"/>
              <w:jc w:val="right"/>
              <w:rPr>
                <w:rFonts w:cs="Arial"/>
                <w:b/>
                <w:szCs w:val="21"/>
                <w:highlight w:val="yellow"/>
                <w:lang w:val="en-US"/>
              </w:rPr>
            </w:pPr>
          </w:p>
        </w:tc>
        <w:tc>
          <w:tcPr>
            <w:tcW w:w="1559"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b/>
                <w:szCs w:val="21"/>
                <w:highlight w:val="yellow"/>
                <w:lang w:val="en-US"/>
              </w:rPr>
            </w:pP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r w:rsidRPr="00E579CB">
              <w:rPr>
                <w:rFonts w:cs="Arial"/>
                <w:szCs w:val="21"/>
              </w:rPr>
              <w:t>Payments for property, plant and equipment</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r w:rsidRPr="00E579CB">
              <w:rPr>
                <w:rFonts w:cs="Arial"/>
                <w:szCs w:val="21"/>
                <w:lang w:val="en-US"/>
              </w:rPr>
              <w:t>6</w:t>
            </w:r>
          </w:p>
        </w:tc>
        <w:tc>
          <w:tcPr>
            <w:tcW w:w="1418" w:type="dxa"/>
            <w:tcBorders>
              <w:top w:val="nil"/>
              <w:left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(242,595)</w:t>
            </w:r>
          </w:p>
        </w:tc>
        <w:tc>
          <w:tcPr>
            <w:tcW w:w="1559" w:type="dxa"/>
            <w:tcBorders>
              <w:top w:val="nil"/>
              <w:left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(51,626)</w:t>
            </w: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rPr>
            </w:pPr>
            <w:r w:rsidRPr="00E579CB">
              <w:rPr>
                <w:rFonts w:cs="Arial"/>
                <w:szCs w:val="21"/>
              </w:rPr>
              <w:t>Payments for intangible asset</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(8,318)</w:t>
            </w:r>
          </w:p>
        </w:tc>
        <w:tc>
          <w:tcPr>
            <w:tcW w:w="1559" w:type="dxa"/>
            <w:tcBorders>
              <w:top w:val="nil"/>
              <w:left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w:t>
            </w: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r w:rsidRPr="00E579CB">
              <w:rPr>
                <w:rFonts w:cs="Arial"/>
                <w:szCs w:val="21"/>
                <w:lang w:val="en-US"/>
              </w:rPr>
              <w:t>Proceeds on disposal of computer equipment</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left w:val="nil"/>
              <w:bottom w:val="single" w:sz="4" w:space="0" w:color="auto"/>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5,709</w:t>
            </w:r>
          </w:p>
        </w:tc>
        <w:tc>
          <w:tcPr>
            <w:tcW w:w="1559" w:type="dxa"/>
            <w:tcBorders>
              <w:left w:val="nil"/>
              <w:bottom w:val="single" w:sz="4" w:space="0" w:color="auto"/>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w:t>
            </w: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b/>
                <w:szCs w:val="21"/>
                <w:lang w:val="en-US"/>
              </w:rPr>
            </w:pPr>
            <w:r w:rsidRPr="00E579CB">
              <w:rPr>
                <w:rFonts w:cs="Arial"/>
                <w:b/>
                <w:szCs w:val="21"/>
                <w:lang w:val="en-US"/>
              </w:rPr>
              <w:t>Net cash outflow from investing activities</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single" w:sz="4" w:space="0" w:color="auto"/>
              <w:left w:val="nil"/>
              <w:bottom w:val="single" w:sz="4" w:space="0" w:color="auto"/>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(245,204)</w:t>
            </w:r>
          </w:p>
        </w:tc>
        <w:tc>
          <w:tcPr>
            <w:tcW w:w="1559" w:type="dxa"/>
            <w:tcBorders>
              <w:top w:val="single" w:sz="4" w:space="0" w:color="auto"/>
              <w:left w:val="nil"/>
              <w:bottom w:val="single" w:sz="4" w:space="0" w:color="auto"/>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(51,626)</w:t>
            </w: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b/>
                <w:szCs w:val="21"/>
                <w:lang w:val="en-US"/>
              </w:rPr>
            </w:pPr>
          </w:p>
          <w:p w:rsidR="00E579CB" w:rsidRPr="00E579CB" w:rsidRDefault="00E579CB" w:rsidP="00E579CB">
            <w:pPr>
              <w:spacing w:after="0"/>
              <w:rPr>
                <w:rFonts w:cs="Arial"/>
                <w:b/>
                <w:szCs w:val="21"/>
                <w:lang w:val="en-US"/>
              </w:rPr>
            </w:pP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single" w:sz="4" w:space="0" w:color="auto"/>
              <w:left w:val="nil"/>
              <w:right w:val="nil"/>
            </w:tcBorders>
            <w:shd w:val="clear" w:color="auto" w:fill="auto"/>
            <w:noWrap/>
            <w:vAlign w:val="bottom"/>
          </w:tcPr>
          <w:p w:rsidR="00E579CB" w:rsidRPr="00E579CB" w:rsidRDefault="00E579CB" w:rsidP="00E579CB">
            <w:pPr>
              <w:spacing w:after="0"/>
              <w:jc w:val="right"/>
              <w:rPr>
                <w:rFonts w:cs="Arial"/>
                <w:b/>
                <w:szCs w:val="21"/>
                <w:lang w:val="en-US"/>
              </w:rPr>
            </w:pPr>
          </w:p>
        </w:tc>
        <w:tc>
          <w:tcPr>
            <w:tcW w:w="1559" w:type="dxa"/>
            <w:tcBorders>
              <w:top w:val="single" w:sz="4" w:space="0" w:color="auto"/>
              <w:left w:val="nil"/>
              <w:right w:val="nil"/>
            </w:tcBorders>
            <w:shd w:val="clear" w:color="auto" w:fill="auto"/>
            <w:noWrap/>
            <w:vAlign w:val="bottom"/>
          </w:tcPr>
          <w:p w:rsidR="00E579CB" w:rsidRPr="00E579CB" w:rsidRDefault="00E579CB" w:rsidP="00E579CB">
            <w:pPr>
              <w:spacing w:after="0"/>
              <w:jc w:val="right"/>
              <w:rPr>
                <w:rFonts w:cs="Arial"/>
                <w:b/>
                <w:szCs w:val="21"/>
                <w:lang w:val="en-US"/>
              </w:rPr>
            </w:pP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b/>
                <w:bCs/>
                <w:szCs w:val="21"/>
                <w:lang w:val="en-US"/>
              </w:rPr>
            </w:pPr>
            <w:r w:rsidRPr="00E579CB">
              <w:rPr>
                <w:rFonts w:cs="Arial"/>
                <w:b/>
                <w:bCs/>
                <w:szCs w:val="21"/>
                <w:lang w:val="en-US"/>
              </w:rPr>
              <w:t>Cash flows from financing activities</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left w:val="nil"/>
              <w:right w:val="nil"/>
            </w:tcBorders>
            <w:shd w:val="clear" w:color="auto" w:fill="auto"/>
            <w:noWrap/>
            <w:vAlign w:val="bottom"/>
          </w:tcPr>
          <w:p w:rsidR="00E579CB" w:rsidRPr="00E579CB" w:rsidRDefault="00E579CB" w:rsidP="00E579CB">
            <w:pPr>
              <w:spacing w:after="0"/>
              <w:jc w:val="right"/>
              <w:rPr>
                <w:rFonts w:cs="Arial"/>
                <w:b/>
                <w:szCs w:val="21"/>
                <w:highlight w:val="yellow"/>
                <w:lang w:val="en-US"/>
              </w:rPr>
            </w:pPr>
          </w:p>
        </w:tc>
        <w:tc>
          <w:tcPr>
            <w:tcW w:w="1559" w:type="dxa"/>
            <w:tcBorders>
              <w:left w:val="nil"/>
              <w:bottom w:val="nil"/>
              <w:right w:val="nil"/>
            </w:tcBorders>
            <w:shd w:val="clear" w:color="auto" w:fill="auto"/>
            <w:noWrap/>
            <w:vAlign w:val="bottom"/>
          </w:tcPr>
          <w:p w:rsidR="00E579CB" w:rsidRPr="00E579CB" w:rsidRDefault="00E579CB" w:rsidP="00E579CB">
            <w:pPr>
              <w:spacing w:after="0"/>
              <w:jc w:val="right"/>
              <w:rPr>
                <w:rFonts w:cs="Arial"/>
                <w:b/>
                <w:szCs w:val="21"/>
                <w:highlight w:val="yellow"/>
                <w:lang w:val="en-US"/>
              </w:rPr>
            </w:pP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r w:rsidRPr="00E579CB">
              <w:rPr>
                <w:rFonts w:cs="Arial"/>
                <w:szCs w:val="21"/>
              </w:rPr>
              <w:t xml:space="preserve">Repayment of borrowings </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w:t>
            </w:r>
          </w:p>
        </w:tc>
        <w:tc>
          <w:tcPr>
            <w:tcW w:w="1559" w:type="dxa"/>
            <w:tcBorders>
              <w:top w:val="nil"/>
              <w:left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(679,630)</w:t>
            </w: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rPr>
            </w:pPr>
            <w:r w:rsidRPr="00E579CB">
              <w:rPr>
                <w:rFonts w:cs="Arial"/>
                <w:szCs w:val="21"/>
              </w:rPr>
              <w:t>Repayment from</w:t>
            </w:r>
            <w:proofErr w:type="gramStart"/>
            <w:r w:rsidRPr="00E579CB">
              <w:rPr>
                <w:rFonts w:cs="Arial"/>
                <w:szCs w:val="21"/>
              </w:rPr>
              <w:t>/(</w:t>
            </w:r>
            <w:proofErr w:type="gramEnd"/>
            <w:r w:rsidRPr="00E579CB">
              <w:rPr>
                <w:rFonts w:cs="Arial"/>
                <w:szCs w:val="21"/>
              </w:rPr>
              <w:t>loan to) Summer Housing</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200,000</w:t>
            </w:r>
          </w:p>
        </w:tc>
        <w:tc>
          <w:tcPr>
            <w:tcW w:w="1559" w:type="dxa"/>
            <w:tcBorders>
              <w:top w:val="nil"/>
              <w:left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(200,000)</w:t>
            </w: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rPr>
            </w:pPr>
            <w:r w:rsidRPr="00E579CB">
              <w:rPr>
                <w:rFonts w:cs="Arial"/>
                <w:b/>
                <w:szCs w:val="21"/>
                <w:lang w:val="en-US"/>
              </w:rPr>
              <w:t xml:space="preserve">Net cash inflow/ (outflow) from </w:t>
            </w:r>
            <w:r w:rsidRPr="00E579CB">
              <w:rPr>
                <w:rFonts w:cs="Arial"/>
                <w:b/>
                <w:bCs/>
                <w:szCs w:val="21"/>
                <w:lang w:val="en-US"/>
              </w:rPr>
              <w:t>financing a</w:t>
            </w:r>
            <w:r w:rsidRPr="00E579CB">
              <w:rPr>
                <w:rFonts w:cs="Arial"/>
                <w:b/>
                <w:szCs w:val="21"/>
                <w:lang w:val="en-US"/>
              </w:rPr>
              <w:t>ctivities</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single" w:sz="4" w:space="0" w:color="auto"/>
              <w:left w:val="nil"/>
              <w:bottom w:val="single" w:sz="4" w:space="0" w:color="auto"/>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200,000</w:t>
            </w:r>
          </w:p>
        </w:tc>
        <w:tc>
          <w:tcPr>
            <w:tcW w:w="1559" w:type="dxa"/>
            <w:tcBorders>
              <w:top w:val="single" w:sz="4" w:space="0" w:color="auto"/>
              <w:left w:val="nil"/>
              <w:bottom w:val="single" w:sz="4" w:space="0" w:color="auto"/>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(879,630)</w:t>
            </w: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b/>
                <w:szCs w:val="21"/>
                <w:lang w:val="en-US"/>
              </w:rPr>
            </w:pPr>
          </w:p>
        </w:tc>
        <w:tc>
          <w:tcPr>
            <w:tcW w:w="1559" w:type="dxa"/>
            <w:tcBorders>
              <w:top w:val="nil"/>
              <w:left w:val="nil"/>
              <w:bottom w:val="nil"/>
              <w:right w:val="nil"/>
            </w:tcBorders>
            <w:shd w:val="clear" w:color="auto" w:fill="auto"/>
            <w:noWrap/>
            <w:vAlign w:val="bottom"/>
          </w:tcPr>
          <w:p w:rsidR="00E579CB" w:rsidRPr="00E579CB" w:rsidRDefault="00E579CB" w:rsidP="00E579CB">
            <w:pPr>
              <w:spacing w:after="0"/>
              <w:jc w:val="right"/>
              <w:rPr>
                <w:rFonts w:cs="Arial"/>
                <w:b/>
                <w:szCs w:val="21"/>
                <w:lang w:val="en-US"/>
              </w:rPr>
            </w:pP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r w:rsidRPr="00E579CB">
              <w:rPr>
                <w:rFonts w:cs="Arial"/>
                <w:b/>
                <w:szCs w:val="21"/>
                <w:lang w:val="en-US"/>
              </w:rPr>
              <w:t>Net increase/ (decrease) in cash and cash equivalents</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1,281,398</w:t>
            </w:r>
          </w:p>
        </w:tc>
        <w:tc>
          <w:tcPr>
            <w:tcW w:w="1559" w:type="dxa"/>
            <w:tcBorders>
              <w:top w:val="nil"/>
              <w:left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(183,914)</w:t>
            </w:r>
          </w:p>
        </w:tc>
      </w:tr>
      <w:tr w:rsidR="00E579CB" w:rsidRPr="00E579CB" w:rsidTr="00E579CB">
        <w:trPr>
          <w:trHeight w:val="255"/>
        </w:trPr>
        <w:tc>
          <w:tcPr>
            <w:tcW w:w="4746" w:type="dxa"/>
            <w:gridSpan w:val="7"/>
            <w:tcBorders>
              <w:top w:val="nil"/>
              <w:left w:val="nil"/>
              <w:bottom w:val="nil"/>
              <w:right w:val="nil"/>
            </w:tcBorders>
            <w:shd w:val="clear" w:color="auto" w:fill="auto"/>
            <w:noWrap/>
            <w:vAlign w:val="bottom"/>
          </w:tcPr>
          <w:p w:rsidR="00E579CB" w:rsidRPr="00E579CB" w:rsidRDefault="00E579CB" w:rsidP="00E579CB">
            <w:pPr>
              <w:spacing w:after="0"/>
              <w:rPr>
                <w:rFonts w:cs="Arial"/>
                <w:b/>
                <w:szCs w:val="21"/>
                <w:lang w:val="en-US"/>
              </w:rPr>
            </w:pPr>
            <w:r w:rsidRPr="00E579CB">
              <w:rPr>
                <w:rFonts w:cs="Arial"/>
                <w:szCs w:val="21"/>
                <w:lang w:val="en-US"/>
              </w:rPr>
              <w:t>Cash and cash equivalents at the beginning of the financial year</w:t>
            </w:r>
          </w:p>
        </w:tc>
        <w:tc>
          <w:tcPr>
            <w:tcW w:w="241" w:type="dxa"/>
            <w:tcBorders>
              <w:top w:val="nil"/>
              <w:left w:val="nil"/>
              <w:bottom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top w:val="nil"/>
              <w:left w:val="nil"/>
              <w:bottom w:val="nil"/>
              <w:right w:val="nil"/>
            </w:tcBorders>
            <w:shd w:val="clear" w:color="auto" w:fill="auto"/>
            <w:noWrap/>
            <w:vAlign w:val="bottom"/>
          </w:tcPr>
          <w:p w:rsidR="00E579CB" w:rsidRPr="00E579CB" w:rsidRDefault="00E579CB" w:rsidP="00E579CB">
            <w:pPr>
              <w:spacing w:after="0"/>
              <w:jc w:val="center"/>
              <w:rPr>
                <w:rFonts w:cs="Arial"/>
                <w:szCs w:val="21"/>
                <w:lang w:val="en-US"/>
              </w:rPr>
            </w:pPr>
          </w:p>
        </w:tc>
        <w:tc>
          <w:tcPr>
            <w:tcW w:w="1418" w:type="dxa"/>
            <w:tcBorders>
              <w:top w:val="nil"/>
              <w:left w:val="nil"/>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1,981,472</w:t>
            </w:r>
          </w:p>
        </w:tc>
        <w:tc>
          <w:tcPr>
            <w:tcW w:w="1559" w:type="dxa"/>
            <w:tcBorders>
              <w:top w:val="nil"/>
              <w:left w:val="nil"/>
              <w:right w:val="nil"/>
            </w:tcBorders>
            <w:shd w:val="clear" w:color="auto" w:fill="auto"/>
            <w:noWrap/>
            <w:vAlign w:val="bottom"/>
          </w:tcPr>
          <w:p w:rsidR="00E579CB" w:rsidRPr="00E579CB" w:rsidRDefault="00E579CB" w:rsidP="00E579CB">
            <w:pPr>
              <w:spacing w:after="0"/>
              <w:jc w:val="right"/>
              <w:rPr>
                <w:rFonts w:cs="Arial"/>
                <w:b/>
                <w:szCs w:val="21"/>
                <w:lang w:val="en-US"/>
              </w:rPr>
            </w:pPr>
            <w:r w:rsidRPr="00E579CB">
              <w:rPr>
                <w:rFonts w:cs="Arial"/>
                <w:szCs w:val="21"/>
                <w:lang w:val="en-US"/>
              </w:rPr>
              <w:t>2,165,386</w:t>
            </w:r>
          </w:p>
        </w:tc>
      </w:tr>
      <w:tr w:rsidR="00E579CB" w:rsidRPr="00E579CB" w:rsidTr="00E579CB">
        <w:trPr>
          <w:trHeight w:val="255"/>
        </w:trPr>
        <w:tc>
          <w:tcPr>
            <w:tcW w:w="4746" w:type="dxa"/>
            <w:gridSpan w:val="7"/>
            <w:tcBorders>
              <w:left w:val="nil"/>
              <w:right w:val="nil"/>
            </w:tcBorders>
            <w:shd w:val="clear" w:color="auto" w:fill="auto"/>
            <w:noWrap/>
            <w:vAlign w:val="bottom"/>
          </w:tcPr>
          <w:p w:rsidR="00E579CB" w:rsidRPr="00E579CB" w:rsidRDefault="00E579CB" w:rsidP="00E579CB">
            <w:pPr>
              <w:spacing w:after="0"/>
              <w:rPr>
                <w:rFonts w:cs="Arial"/>
                <w:b/>
                <w:szCs w:val="21"/>
                <w:lang w:val="en-US"/>
              </w:rPr>
            </w:pPr>
            <w:r w:rsidRPr="00E579CB">
              <w:rPr>
                <w:rFonts w:cs="Arial"/>
                <w:b/>
                <w:bCs/>
                <w:szCs w:val="21"/>
                <w:lang w:val="en-US"/>
              </w:rPr>
              <w:t>Cash and cash equivalents at the end of the financial year</w:t>
            </w:r>
          </w:p>
        </w:tc>
        <w:tc>
          <w:tcPr>
            <w:tcW w:w="241" w:type="dxa"/>
            <w:tcBorders>
              <w:left w:val="nil"/>
              <w:right w:val="nil"/>
            </w:tcBorders>
            <w:shd w:val="clear" w:color="auto" w:fill="auto"/>
            <w:noWrap/>
            <w:vAlign w:val="bottom"/>
          </w:tcPr>
          <w:p w:rsidR="00E579CB" w:rsidRPr="00E579CB" w:rsidRDefault="00E579CB" w:rsidP="00E579CB">
            <w:pPr>
              <w:spacing w:after="0"/>
              <w:rPr>
                <w:rFonts w:cs="Arial"/>
                <w:szCs w:val="21"/>
                <w:lang w:val="en-US"/>
              </w:rPr>
            </w:pPr>
          </w:p>
        </w:tc>
        <w:tc>
          <w:tcPr>
            <w:tcW w:w="933" w:type="dxa"/>
            <w:tcBorders>
              <w:left w:val="nil"/>
              <w:right w:val="nil"/>
            </w:tcBorders>
            <w:shd w:val="clear" w:color="auto" w:fill="auto"/>
            <w:noWrap/>
            <w:vAlign w:val="bottom"/>
          </w:tcPr>
          <w:p w:rsidR="00E579CB" w:rsidRPr="00E579CB" w:rsidRDefault="00E579CB" w:rsidP="00E579CB">
            <w:pPr>
              <w:spacing w:after="0"/>
              <w:jc w:val="center"/>
              <w:rPr>
                <w:rFonts w:cs="Arial"/>
                <w:szCs w:val="21"/>
                <w:lang w:val="en-US"/>
              </w:rPr>
            </w:pPr>
            <w:r w:rsidRPr="00E579CB">
              <w:rPr>
                <w:rFonts w:cs="Arial"/>
                <w:szCs w:val="21"/>
                <w:lang w:val="en-US"/>
              </w:rPr>
              <w:t>3</w:t>
            </w:r>
          </w:p>
        </w:tc>
        <w:tc>
          <w:tcPr>
            <w:tcW w:w="1418" w:type="dxa"/>
            <w:tcBorders>
              <w:top w:val="single" w:sz="4" w:space="0" w:color="auto"/>
              <w:left w:val="nil"/>
              <w:bottom w:val="double" w:sz="4" w:space="0" w:color="auto"/>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3,262,870</w:t>
            </w:r>
          </w:p>
        </w:tc>
        <w:tc>
          <w:tcPr>
            <w:tcW w:w="1559" w:type="dxa"/>
            <w:tcBorders>
              <w:top w:val="single" w:sz="4" w:space="0" w:color="auto"/>
              <w:left w:val="nil"/>
              <w:bottom w:val="double" w:sz="4" w:space="0" w:color="auto"/>
              <w:right w:val="nil"/>
            </w:tcBorders>
            <w:shd w:val="clear" w:color="auto" w:fill="auto"/>
            <w:noWrap/>
            <w:vAlign w:val="bottom"/>
          </w:tcPr>
          <w:p w:rsidR="00E579CB" w:rsidRPr="00E579CB" w:rsidRDefault="00E579CB" w:rsidP="00E579CB">
            <w:pPr>
              <w:spacing w:after="0"/>
              <w:jc w:val="right"/>
              <w:rPr>
                <w:rFonts w:cs="Arial"/>
                <w:szCs w:val="21"/>
                <w:lang w:val="en-US"/>
              </w:rPr>
            </w:pPr>
            <w:r w:rsidRPr="00E579CB">
              <w:rPr>
                <w:rFonts w:cs="Arial"/>
                <w:szCs w:val="21"/>
                <w:lang w:val="en-US"/>
              </w:rPr>
              <w:t>1,981,472</w:t>
            </w:r>
          </w:p>
        </w:tc>
      </w:tr>
    </w:tbl>
    <w:p w:rsidR="00E579CB" w:rsidRPr="00E579CB" w:rsidRDefault="00E579CB" w:rsidP="00E579CB">
      <w:pPr>
        <w:rPr>
          <w:rFonts w:cs="Arial"/>
          <w:i/>
          <w:szCs w:val="21"/>
          <w:lang w:val="en-US"/>
        </w:rPr>
      </w:pPr>
    </w:p>
    <w:p w:rsidR="00E579CB" w:rsidRPr="00E579CB" w:rsidRDefault="00E579CB" w:rsidP="00E579CB">
      <w:pPr>
        <w:rPr>
          <w:rFonts w:cs="Arial"/>
          <w:i/>
          <w:szCs w:val="21"/>
          <w:lang w:val="en-US"/>
        </w:rPr>
      </w:pPr>
    </w:p>
    <w:p w:rsidR="00E579CB" w:rsidRPr="00E579CB" w:rsidRDefault="00E579CB" w:rsidP="00E579CB">
      <w:pPr>
        <w:rPr>
          <w:rFonts w:cs="Arial"/>
          <w:i/>
          <w:szCs w:val="21"/>
          <w:lang w:val="en-US"/>
        </w:rPr>
      </w:pPr>
    </w:p>
    <w:p w:rsidR="00E579CB" w:rsidRPr="00E579CB" w:rsidRDefault="00E579CB" w:rsidP="00E579CB">
      <w:pPr>
        <w:rPr>
          <w:rFonts w:cs="Arial"/>
          <w:i/>
          <w:szCs w:val="21"/>
          <w:lang w:val="en-US"/>
        </w:rPr>
      </w:pPr>
    </w:p>
    <w:p w:rsidR="00E579CB" w:rsidRPr="00E579CB" w:rsidRDefault="00E579CB" w:rsidP="00E579CB">
      <w:pPr>
        <w:rPr>
          <w:rFonts w:cs="Arial"/>
          <w:i/>
          <w:szCs w:val="21"/>
          <w:lang w:val="en-US"/>
        </w:rPr>
      </w:pPr>
      <w:r w:rsidRPr="00E579CB">
        <w:rPr>
          <w:rFonts w:cs="Arial"/>
          <w:i/>
          <w:szCs w:val="21"/>
          <w:lang w:val="en-US"/>
        </w:rPr>
        <w:t>The above Statement of Cash Flows should be read in conjunction with the accompanying notes.</w:t>
      </w:r>
      <w:r w:rsidRPr="00E579CB">
        <w:rPr>
          <w:rFonts w:cs="Arial"/>
          <w:szCs w:val="21"/>
        </w:rPr>
        <w:br w:type="column"/>
      </w:r>
      <w:r w:rsidRPr="00E579CB">
        <w:rPr>
          <w:rStyle w:val="Heading1Char"/>
        </w:rPr>
        <w:lastRenderedPageBreak/>
        <w:t>Notes to the Financial Statements</w:t>
      </w:r>
    </w:p>
    <w:p w:rsidR="00E579CB" w:rsidRPr="00E579CB" w:rsidRDefault="00E579CB" w:rsidP="00E579CB">
      <w:pPr>
        <w:pStyle w:val="Heading2"/>
      </w:pPr>
      <w:r w:rsidRPr="00E579CB">
        <w:t>1 Summary of significant accounting policies</w:t>
      </w:r>
    </w:p>
    <w:p w:rsidR="00E579CB" w:rsidRPr="00E579CB" w:rsidRDefault="00E579CB" w:rsidP="00E579CB">
      <w:pPr>
        <w:pStyle w:val="Heading-subsection"/>
        <w:tabs>
          <w:tab w:val="left" w:pos="0"/>
        </w:tabs>
        <w:spacing w:before="0" w:after="120" w:line="280" w:lineRule="atLeast"/>
        <w:rPr>
          <w:rFonts w:ascii="Helvetica Neue" w:hAnsi="Helvetica Neue" w:cs="Arial"/>
          <w:sz w:val="21"/>
          <w:szCs w:val="21"/>
        </w:rPr>
      </w:pPr>
      <w:r w:rsidRPr="00E579CB">
        <w:rPr>
          <w:rFonts w:ascii="Helvetica Neue" w:hAnsi="Helvetica Neue" w:cs="Arial"/>
          <w:sz w:val="21"/>
          <w:szCs w:val="21"/>
        </w:rPr>
        <w:t>(a) Basis of preparation</w:t>
      </w:r>
    </w:p>
    <w:p w:rsidR="00E579CB" w:rsidRPr="00E579CB" w:rsidRDefault="00E579CB" w:rsidP="00E579CB">
      <w:pPr>
        <w:pStyle w:val="Heading-subsection"/>
        <w:tabs>
          <w:tab w:val="left" w:pos="679"/>
        </w:tabs>
        <w:spacing w:before="0" w:after="120" w:line="280" w:lineRule="atLeast"/>
        <w:rPr>
          <w:rFonts w:ascii="Helvetica Neue" w:hAnsi="Helvetica Neue" w:cs="Arial"/>
          <w:b w:val="0"/>
          <w:bCs w:val="0"/>
          <w:color w:val="auto"/>
          <w:sz w:val="21"/>
          <w:szCs w:val="21"/>
          <w:lang w:eastAsia="en-US"/>
        </w:rPr>
      </w:pPr>
      <w:r w:rsidRPr="00E579CB">
        <w:rPr>
          <w:rFonts w:ascii="Helvetica Neue" w:hAnsi="Helvetica Neue" w:cs="Arial"/>
          <w:b w:val="0"/>
          <w:bCs w:val="0"/>
          <w:color w:val="auto"/>
          <w:sz w:val="21"/>
          <w:szCs w:val="21"/>
          <w:lang w:eastAsia="en-US"/>
        </w:rPr>
        <w:t>Summer Foundation Limited applies Australian Accounting Standards – Reduced Disclosure Requirements as set out in AASB 1053: Application of Tiers of Australian Accounting Standards and AASB 2010–2: Amendments to Australian Accounting Standards arising from Reduced Disclosure Requirements.</w:t>
      </w:r>
    </w:p>
    <w:p w:rsidR="00E579CB" w:rsidRPr="00E579CB" w:rsidRDefault="00E579CB" w:rsidP="00E579CB">
      <w:pPr>
        <w:pStyle w:val="Tabletext10pt"/>
        <w:keepLines w:val="0"/>
        <w:widowControl w:val="0"/>
        <w:spacing w:before="0" w:after="120" w:line="280" w:lineRule="atLeast"/>
        <w:rPr>
          <w:rFonts w:ascii="Helvetica Neue" w:hAnsi="Helvetica Neue"/>
          <w:color w:val="000000"/>
          <w:sz w:val="21"/>
          <w:szCs w:val="21"/>
        </w:rPr>
      </w:pPr>
      <w:r w:rsidRPr="00E579CB">
        <w:rPr>
          <w:rFonts w:ascii="Helvetica Neue" w:hAnsi="Helvetica Neue"/>
          <w:color w:val="000000"/>
          <w:sz w:val="21"/>
          <w:szCs w:val="21"/>
        </w:rPr>
        <w:t xml:space="preserve">The financial report is a general purpose financial report that has been prepared in accordance with Australian Accounting Standards and Interpretations of the Australian Accounting Standards Board and the </w:t>
      </w:r>
      <w:r w:rsidRPr="00E579CB">
        <w:rPr>
          <w:rFonts w:ascii="Helvetica Neue" w:hAnsi="Helvetica Neue"/>
          <w:i/>
          <w:color w:val="000000"/>
          <w:sz w:val="21"/>
          <w:szCs w:val="21"/>
        </w:rPr>
        <w:t>Australian Charities and Not-for-profit Commission Act 2012</w:t>
      </w:r>
      <w:r w:rsidRPr="00E579CB">
        <w:rPr>
          <w:rFonts w:ascii="Helvetica Neue" w:hAnsi="Helvetica Neue"/>
          <w:color w:val="000000"/>
          <w:sz w:val="21"/>
          <w:szCs w:val="21"/>
        </w:rPr>
        <w:t xml:space="preserve">. </w:t>
      </w:r>
      <w:r w:rsidRPr="00E579CB">
        <w:rPr>
          <w:rFonts w:ascii="Helvetica Neue" w:hAnsi="Helvetica Neue"/>
          <w:sz w:val="21"/>
          <w:szCs w:val="21"/>
        </w:rPr>
        <w:t xml:space="preserve">The company is a not-for-profit entity for financial reporting purposes under Australian Accounting Standards. </w:t>
      </w:r>
    </w:p>
    <w:p w:rsidR="00E579CB" w:rsidRPr="00E579CB" w:rsidRDefault="00E579CB" w:rsidP="00E579CB">
      <w:pPr>
        <w:pStyle w:val="Heading-subsection"/>
        <w:tabs>
          <w:tab w:val="left" w:pos="679"/>
        </w:tabs>
        <w:spacing w:before="0" w:after="120" w:line="280" w:lineRule="atLeast"/>
        <w:rPr>
          <w:rFonts w:ascii="Helvetica Neue" w:hAnsi="Helvetica Neue" w:cs="Arial"/>
          <w:b w:val="0"/>
          <w:bCs w:val="0"/>
          <w:color w:val="auto"/>
          <w:sz w:val="21"/>
          <w:szCs w:val="21"/>
          <w:lang w:eastAsia="en-US"/>
        </w:rPr>
      </w:pPr>
      <w:r w:rsidRPr="00E579CB">
        <w:rPr>
          <w:rFonts w:ascii="Helvetica Neue" w:hAnsi="Helvetica Neue" w:cs="Arial"/>
          <w:b w:val="0"/>
          <w:bCs w:val="0"/>
          <w:color w:val="auto"/>
          <w:sz w:val="21"/>
          <w:szCs w:val="21"/>
          <w:lang w:eastAsia="en-US"/>
        </w:rPr>
        <w:t>Australian Accounting Standards set out accounting policies that the AASB has concluded would result in financial statements containing relevant and reliable information about transactions, events and conditions. Material accounting policies adopted in the preparation of these financial statements are presented below and have been consistently applied unless stated otherwise.</w:t>
      </w:r>
    </w:p>
    <w:p w:rsidR="00E579CB" w:rsidRPr="00E579CB" w:rsidRDefault="00E579CB" w:rsidP="00E579CB">
      <w:pPr>
        <w:pStyle w:val="Heading-subsection"/>
        <w:tabs>
          <w:tab w:val="left" w:pos="679"/>
        </w:tabs>
        <w:spacing w:before="0" w:after="120" w:line="280" w:lineRule="atLeast"/>
        <w:rPr>
          <w:rFonts w:ascii="Helvetica Neue" w:hAnsi="Helvetica Neue" w:cs="Arial"/>
          <w:b w:val="0"/>
          <w:bCs w:val="0"/>
          <w:i/>
          <w:color w:val="auto"/>
          <w:sz w:val="21"/>
          <w:szCs w:val="21"/>
          <w:lang w:eastAsia="en-US"/>
        </w:rPr>
      </w:pPr>
      <w:r w:rsidRPr="00E579CB">
        <w:rPr>
          <w:rFonts w:ascii="Helvetica Neue" w:hAnsi="Helvetica Neue" w:cs="Arial"/>
          <w:b w:val="0"/>
          <w:bCs w:val="0"/>
          <w:i/>
          <w:color w:val="auto"/>
          <w:sz w:val="21"/>
          <w:szCs w:val="21"/>
          <w:lang w:eastAsia="en-US"/>
        </w:rPr>
        <w:t>Historical cost convention</w:t>
      </w:r>
    </w:p>
    <w:p w:rsidR="00E579CB" w:rsidRPr="00E579CB" w:rsidRDefault="00E579CB" w:rsidP="00E579CB">
      <w:pPr>
        <w:pStyle w:val="Heading-subsection"/>
        <w:tabs>
          <w:tab w:val="left" w:pos="679"/>
        </w:tabs>
        <w:spacing w:before="0" w:after="120" w:line="280" w:lineRule="atLeast"/>
        <w:rPr>
          <w:rFonts w:ascii="Helvetica Neue" w:hAnsi="Helvetica Neue" w:cs="Arial"/>
          <w:b w:val="0"/>
          <w:bCs w:val="0"/>
          <w:color w:val="auto"/>
          <w:sz w:val="21"/>
          <w:szCs w:val="21"/>
          <w:lang w:eastAsia="en-US"/>
        </w:rPr>
      </w:pPr>
      <w:r w:rsidRPr="00E579CB">
        <w:rPr>
          <w:rFonts w:ascii="Helvetica Neue" w:hAnsi="Helvetica Neue" w:cs="Arial"/>
          <w:b w:val="0"/>
          <w:bCs w:val="0"/>
          <w:color w:val="auto"/>
          <w:sz w:val="21"/>
          <w:szCs w:val="21"/>
          <w:lang w:eastAsia="en-US"/>
        </w:rPr>
        <w:t>The financial report, except for the cash flow information, has been prepared on an accruals basis and is based on historical costs, modified where applicable, by the measurement at fair value of selected non-current assets, financial assets and financial liabilities. The amounts presented in the financial statements have been rounded to the nearest dollar.</w:t>
      </w:r>
    </w:p>
    <w:p w:rsidR="00E579CB" w:rsidRPr="00E579CB" w:rsidRDefault="00E579CB" w:rsidP="00E579CB">
      <w:pPr>
        <w:widowControl w:val="0"/>
        <w:spacing w:line="280" w:lineRule="atLeast"/>
        <w:rPr>
          <w:rFonts w:cs="Arial"/>
          <w:b/>
          <w:noProof/>
          <w:szCs w:val="21"/>
          <w:lang w:val="en-US"/>
        </w:rPr>
      </w:pPr>
      <w:r w:rsidRPr="00E579CB">
        <w:rPr>
          <w:rFonts w:cs="Arial"/>
          <w:b/>
          <w:noProof/>
          <w:szCs w:val="21"/>
          <w:lang w:val="en-US"/>
        </w:rPr>
        <w:t>New or amended Accounting Standards and Interpretations adopted</w:t>
      </w:r>
    </w:p>
    <w:p w:rsidR="00E579CB" w:rsidRPr="00E579CB" w:rsidRDefault="00E579CB" w:rsidP="00E579CB">
      <w:pPr>
        <w:widowControl w:val="0"/>
        <w:spacing w:line="280" w:lineRule="atLeast"/>
        <w:rPr>
          <w:rFonts w:cs="Arial"/>
          <w:noProof/>
          <w:szCs w:val="21"/>
        </w:rPr>
      </w:pPr>
      <w:r w:rsidRPr="00E579CB">
        <w:rPr>
          <w:rFonts w:cs="Arial"/>
          <w:noProof/>
          <w:szCs w:val="21"/>
        </w:rPr>
        <w:t>The company has adopted all of the new or amended Accounting Standards and Interpretations issued by the Australian Accounting Standards Board ('AASB') that are mandatory for the current reporting period.</w:t>
      </w:r>
    </w:p>
    <w:p w:rsidR="00E579CB" w:rsidRPr="00E579CB" w:rsidRDefault="00E579CB" w:rsidP="00E579CB">
      <w:pPr>
        <w:widowControl w:val="0"/>
        <w:spacing w:line="280" w:lineRule="atLeast"/>
        <w:rPr>
          <w:rFonts w:cs="Arial"/>
          <w:noProof/>
          <w:szCs w:val="21"/>
        </w:rPr>
      </w:pPr>
      <w:r w:rsidRPr="00E579CB">
        <w:rPr>
          <w:rFonts w:cs="Arial"/>
          <w:noProof/>
          <w:szCs w:val="21"/>
        </w:rPr>
        <w:t>The adoption of these Accounting Standards and Interpretations did not have any significant impact on the financial performance or position of the company.</w:t>
      </w:r>
    </w:p>
    <w:p w:rsidR="00E579CB" w:rsidRPr="00E579CB" w:rsidRDefault="00E579CB" w:rsidP="00E579CB">
      <w:pPr>
        <w:widowControl w:val="0"/>
        <w:spacing w:line="280" w:lineRule="atLeast"/>
        <w:rPr>
          <w:rFonts w:cs="Arial"/>
          <w:noProof/>
          <w:szCs w:val="21"/>
        </w:rPr>
      </w:pPr>
      <w:r w:rsidRPr="00E579CB">
        <w:rPr>
          <w:rFonts w:cs="Arial"/>
          <w:noProof/>
          <w:szCs w:val="21"/>
        </w:rPr>
        <w:t>The following Accounting Standard and Interpretation is most relevant to the company:</w:t>
      </w:r>
    </w:p>
    <w:p w:rsidR="00E579CB" w:rsidRPr="00E579CB" w:rsidRDefault="00E579CB" w:rsidP="00E579CB">
      <w:pPr>
        <w:widowControl w:val="0"/>
        <w:spacing w:line="280" w:lineRule="atLeast"/>
        <w:rPr>
          <w:rFonts w:cs="Arial"/>
          <w:i/>
          <w:noProof/>
          <w:szCs w:val="21"/>
        </w:rPr>
      </w:pPr>
      <w:r w:rsidRPr="00E579CB">
        <w:rPr>
          <w:rFonts w:cs="Arial"/>
          <w:i/>
          <w:noProof/>
          <w:szCs w:val="21"/>
        </w:rPr>
        <w:t>AASB 9 Financial Instruments</w:t>
      </w:r>
    </w:p>
    <w:p w:rsidR="00E579CB" w:rsidRPr="00E579CB" w:rsidRDefault="00E579CB" w:rsidP="00E579CB">
      <w:pPr>
        <w:widowControl w:val="0"/>
        <w:spacing w:line="280" w:lineRule="atLeast"/>
        <w:rPr>
          <w:rFonts w:cs="Arial"/>
          <w:color w:val="000000"/>
          <w:szCs w:val="21"/>
          <w:lang w:eastAsia="en-AU"/>
        </w:rPr>
      </w:pPr>
      <w:r w:rsidRPr="00E579CB">
        <w:rPr>
          <w:rFonts w:cs="Arial"/>
          <w:noProof/>
          <w:color w:val="000000"/>
          <w:szCs w:val="21"/>
          <w:lang w:val="en-US"/>
        </w:rPr>
        <w:t xml:space="preserve">The company has adopted AASB 9 from 1 July 2018. The standard introduced new classification and measurement models for financial assets. A financial asset shall be measured at amortised cost if it is held within a business model whose objective is to hold assets in order to collect contractual cash flows which arise on specified dates and that are solely principal and interest. A debt investment shall be measured at fair value through other comprehensive income if it is held within a business model whose objective is to both hold assets in order to collect contractual cash flows which arise on specified dates that are solely principal and interest as well as selling the asset on the basis of its fair value. All other financial assets are classified and </w:t>
      </w:r>
      <w:r w:rsidRPr="00E579CB">
        <w:rPr>
          <w:rFonts w:cs="Arial"/>
          <w:color w:val="000000"/>
          <w:szCs w:val="21"/>
          <w:lang w:eastAsia="en-AU"/>
        </w:rPr>
        <w:lastRenderedPageBreak/>
        <w:t>measured at fair value through profit or loss unless the entity makes an irrevocable election on initial recognition to present gains and losses on equity instruments (that are not held-for-trading or contingent consideration recognised in a business combination) in other comprehensive income ('OCI'). New impairment requirements use an 'expected credit loss' ('ECL') model to recognise an allowance. Impairment is measured using a 12-month ECL method unless the credit risk on a financial instrument has increased significantly since initial recognition in which case the lifetime ECL method is adopted. For receivables, a simplified approach to measuring expected credit losses using a lifetime expected loss allowance is available.</w:t>
      </w:r>
    </w:p>
    <w:p w:rsidR="00E579CB" w:rsidRPr="00E579CB" w:rsidRDefault="00E579CB" w:rsidP="00E579CB">
      <w:pPr>
        <w:widowControl w:val="0"/>
        <w:spacing w:line="280" w:lineRule="atLeast"/>
        <w:rPr>
          <w:rFonts w:cs="Arial"/>
          <w:i/>
          <w:noProof/>
          <w:szCs w:val="21"/>
        </w:rPr>
      </w:pPr>
      <w:r w:rsidRPr="00E579CB">
        <w:rPr>
          <w:rFonts w:cs="Arial"/>
          <w:i/>
          <w:noProof/>
          <w:szCs w:val="21"/>
        </w:rPr>
        <w:t>Impact of adoption</w:t>
      </w:r>
    </w:p>
    <w:p w:rsidR="00E579CB" w:rsidRPr="00E579CB" w:rsidRDefault="00E579CB" w:rsidP="00E579CB">
      <w:pPr>
        <w:widowControl w:val="0"/>
        <w:spacing w:line="280" w:lineRule="atLeast"/>
        <w:rPr>
          <w:rFonts w:cs="Arial"/>
          <w:noProof/>
          <w:szCs w:val="21"/>
        </w:rPr>
      </w:pPr>
      <w:r w:rsidRPr="00E579CB">
        <w:rPr>
          <w:rFonts w:cs="Arial"/>
          <w:noProof/>
          <w:szCs w:val="21"/>
        </w:rPr>
        <w:t>AASB 9 was adopted using the modified retrospective approach and as such comparatives have not been restated. There was no impact on opening retained profits as at 1 July 2018.</w:t>
      </w:r>
    </w:p>
    <w:p w:rsidR="00E579CB" w:rsidRPr="00E579CB" w:rsidRDefault="00E579CB" w:rsidP="00E579CB">
      <w:pPr>
        <w:widowControl w:val="0"/>
        <w:spacing w:line="280" w:lineRule="atLeast"/>
        <w:rPr>
          <w:rFonts w:cs="Arial"/>
          <w:i/>
          <w:noProof/>
          <w:szCs w:val="21"/>
          <w:lang w:val="en-US"/>
        </w:rPr>
      </w:pPr>
      <w:r w:rsidRPr="00E579CB">
        <w:rPr>
          <w:rFonts w:cs="Arial"/>
          <w:i/>
          <w:noProof/>
          <w:szCs w:val="21"/>
          <w:lang w:val="en-US"/>
        </w:rPr>
        <w:t>Comparatives</w:t>
      </w:r>
    </w:p>
    <w:p w:rsidR="00E579CB" w:rsidRPr="00E579CB" w:rsidRDefault="00E579CB" w:rsidP="00E579CB">
      <w:pPr>
        <w:widowControl w:val="0"/>
        <w:spacing w:line="280" w:lineRule="atLeast"/>
        <w:rPr>
          <w:rFonts w:cs="Arial"/>
          <w:noProof/>
          <w:szCs w:val="21"/>
          <w:lang w:val="en-US"/>
        </w:rPr>
      </w:pPr>
      <w:r w:rsidRPr="00E579CB">
        <w:rPr>
          <w:rFonts w:cs="Arial"/>
          <w:noProof/>
          <w:szCs w:val="21"/>
          <w:lang w:val="en-US"/>
        </w:rPr>
        <w:t>Comparative figures, where appropriate, have been reclassified to be comparable with the figures presented for the current financial year.</w:t>
      </w:r>
    </w:p>
    <w:p w:rsidR="00E579CB" w:rsidRPr="00E579CB" w:rsidRDefault="00E579CB" w:rsidP="00E579CB">
      <w:pPr>
        <w:pStyle w:val="Heading-subsection"/>
        <w:tabs>
          <w:tab w:val="left" w:pos="0"/>
        </w:tabs>
        <w:spacing w:before="0" w:after="120" w:line="280" w:lineRule="atLeast"/>
        <w:rPr>
          <w:rFonts w:ascii="Helvetica Neue" w:hAnsi="Helvetica Neue" w:cs="Arial"/>
          <w:sz w:val="21"/>
          <w:szCs w:val="21"/>
        </w:rPr>
      </w:pPr>
      <w:r w:rsidRPr="00E579CB">
        <w:rPr>
          <w:rFonts w:ascii="Helvetica Neue" w:hAnsi="Helvetica Neue" w:cs="Arial"/>
          <w:sz w:val="21"/>
          <w:szCs w:val="21"/>
        </w:rPr>
        <w:t>(b) Revenue recognition</w:t>
      </w:r>
    </w:p>
    <w:p w:rsidR="00E579CB" w:rsidRPr="00E579CB" w:rsidRDefault="00E579CB" w:rsidP="00E579CB">
      <w:pPr>
        <w:pStyle w:val="Tabletext10pt"/>
        <w:keepLines w:val="0"/>
        <w:widowControl w:val="0"/>
        <w:spacing w:before="0" w:after="120" w:line="280" w:lineRule="atLeast"/>
        <w:rPr>
          <w:rFonts w:ascii="Helvetica Neue" w:hAnsi="Helvetica Neue"/>
          <w:sz w:val="21"/>
          <w:szCs w:val="21"/>
        </w:rPr>
      </w:pPr>
      <w:r w:rsidRPr="00E579CB">
        <w:rPr>
          <w:rFonts w:ascii="Helvetica Neue" w:hAnsi="Helvetica Neue"/>
          <w:noProof w:val="0"/>
          <w:color w:val="000000"/>
          <w:sz w:val="21"/>
          <w:szCs w:val="21"/>
          <w:lang w:val="en-AU" w:eastAsia="en-AU"/>
        </w:rPr>
        <w:t xml:space="preserve">Revenue is measured at the fair value of the consideration received or receivable.  </w:t>
      </w:r>
      <w:r w:rsidRPr="00E579CB">
        <w:rPr>
          <w:rFonts w:ascii="Helvetica Neue" w:hAnsi="Helvetica Neue"/>
          <w:noProof w:val="0"/>
          <w:color w:val="000000"/>
          <w:sz w:val="21"/>
          <w:szCs w:val="21"/>
          <w:lang w:val="en-AU" w:eastAsia="en-AU"/>
        </w:rPr>
        <w:br/>
        <w:t>Revenue from contributions and donations are recognised</w:t>
      </w:r>
      <w:r w:rsidRPr="00E579CB">
        <w:rPr>
          <w:rFonts w:ascii="Helvetica Neue" w:hAnsi="Helvetica Neue"/>
          <w:sz w:val="21"/>
          <w:szCs w:val="21"/>
        </w:rPr>
        <w:t xml:space="preserve"> in the year in which they are received.</w:t>
      </w:r>
    </w:p>
    <w:p w:rsidR="00E579CB" w:rsidRPr="00E579CB" w:rsidRDefault="00E579CB" w:rsidP="00E579CB">
      <w:pPr>
        <w:pStyle w:val="Tabletext10pt"/>
        <w:keepLines w:val="0"/>
        <w:widowControl w:val="0"/>
        <w:spacing w:before="0" w:after="120" w:line="280" w:lineRule="atLeast"/>
        <w:rPr>
          <w:rFonts w:ascii="Helvetica Neue" w:hAnsi="Helvetica Neue"/>
          <w:sz w:val="21"/>
          <w:szCs w:val="21"/>
        </w:rPr>
      </w:pPr>
      <w:r w:rsidRPr="00E579CB">
        <w:rPr>
          <w:rFonts w:ascii="Helvetica Neue" w:hAnsi="Helvetica Neue"/>
          <w:sz w:val="21"/>
          <w:szCs w:val="21"/>
        </w:rPr>
        <w:t>Government contributions and grants are recognised in the year the Company obtains control of the right to receive the contributions.</w:t>
      </w:r>
    </w:p>
    <w:p w:rsidR="00E579CB" w:rsidRPr="00E579CB" w:rsidRDefault="00E579CB" w:rsidP="00E579CB">
      <w:pPr>
        <w:pStyle w:val="Tabletext10pt"/>
        <w:keepLines w:val="0"/>
        <w:widowControl w:val="0"/>
        <w:spacing w:before="0" w:after="120" w:line="280" w:lineRule="atLeast"/>
        <w:rPr>
          <w:rFonts w:ascii="Helvetica Neue" w:hAnsi="Helvetica Neue"/>
          <w:i/>
          <w:noProof w:val="0"/>
          <w:color w:val="000000"/>
          <w:sz w:val="21"/>
          <w:szCs w:val="21"/>
          <w:lang w:val="en-AU" w:eastAsia="en-AU"/>
        </w:rPr>
      </w:pPr>
      <w:r w:rsidRPr="00E579CB">
        <w:rPr>
          <w:rFonts w:ascii="Helvetica Neue" w:hAnsi="Helvetica Neue"/>
          <w:i/>
          <w:noProof w:val="0"/>
          <w:color w:val="000000"/>
          <w:sz w:val="21"/>
          <w:szCs w:val="21"/>
          <w:lang w:val="en-AU" w:eastAsia="en-AU"/>
        </w:rPr>
        <w:t>Interest income</w:t>
      </w:r>
    </w:p>
    <w:p w:rsidR="00E579CB" w:rsidRPr="00E579CB" w:rsidRDefault="00E579CB" w:rsidP="00E579CB">
      <w:pPr>
        <w:pStyle w:val="Tabletext10pt"/>
        <w:keepLines w:val="0"/>
        <w:widowControl w:val="0"/>
        <w:spacing w:before="0" w:after="120" w:line="280" w:lineRule="atLeast"/>
        <w:rPr>
          <w:rFonts w:ascii="Helvetica Neue" w:hAnsi="Helvetica Neue"/>
          <w:noProof w:val="0"/>
          <w:color w:val="000000"/>
          <w:sz w:val="21"/>
          <w:szCs w:val="21"/>
          <w:lang w:val="en-AU" w:eastAsia="en-AU"/>
        </w:rPr>
      </w:pPr>
      <w:r w:rsidRPr="00E579CB">
        <w:rPr>
          <w:rFonts w:ascii="Helvetica Neue" w:hAnsi="Helvetica Neue"/>
          <w:noProof w:val="0"/>
          <w:color w:val="000000"/>
          <w:sz w:val="21"/>
          <w:szCs w:val="21"/>
          <w:lang w:val="en-AU" w:eastAsia="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rsidR="00E579CB" w:rsidRPr="00E579CB" w:rsidRDefault="00E579CB" w:rsidP="00E579CB">
      <w:pPr>
        <w:pStyle w:val="Heading-subsection"/>
        <w:tabs>
          <w:tab w:val="left" w:pos="0"/>
        </w:tabs>
        <w:spacing w:before="0" w:after="120" w:line="280" w:lineRule="atLeast"/>
        <w:rPr>
          <w:rFonts w:ascii="Helvetica Neue" w:hAnsi="Helvetica Neue" w:cs="Arial"/>
          <w:sz w:val="21"/>
          <w:szCs w:val="21"/>
        </w:rPr>
      </w:pPr>
      <w:r w:rsidRPr="00E579CB">
        <w:rPr>
          <w:rFonts w:ascii="Helvetica Neue" w:hAnsi="Helvetica Neue" w:cs="Arial"/>
          <w:sz w:val="21"/>
          <w:szCs w:val="21"/>
        </w:rPr>
        <w:t>(c) Income tax</w:t>
      </w:r>
    </w:p>
    <w:p w:rsidR="00E579CB" w:rsidRPr="00E579CB" w:rsidRDefault="00E579CB" w:rsidP="00E579CB">
      <w:pPr>
        <w:pStyle w:val="Heading-subsection"/>
        <w:tabs>
          <w:tab w:val="left" w:pos="0"/>
        </w:tabs>
        <w:spacing w:before="0" w:after="120" w:line="280" w:lineRule="atLeast"/>
        <w:rPr>
          <w:rFonts w:ascii="Helvetica Neue" w:hAnsi="Helvetica Neue" w:cs="Arial"/>
          <w:b w:val="0"/>
          <w:bCs w:val="0"/>
          <w:noProof/>
          <w:color w:val="auto"/>
          <w:sz w:val="21"/>
          <w:szCs w:val="21"/>
          <w:lang w:val="en-US" w:eastAsia="en-US"/>
        </w:rPr>
      </w:pPr>
      <w:r w:rsidRPr="00E579CB">
        <w:rPr>
          <w:rFonts w:ascii="Helvetica Neue" w:hAnsi="Helvetica Neue" w:cs="Arial"/>
          <w:b w:val="0"/>
          <w:bCs w:val="0"/>
          <w:noProof/>
          <w:color w:val="auto"/>
          <w:sz w:val="21"/>
          <w:szCs w:val="21"/>
          <w:lang w:val="en-US" w:eastAsia="en-US"/>
        </w:rPr>
        <w:t xml:space="preserve">The company is exempt from income tax under subsection 50-5 of the </w:t>
      </w:r>
      <w:r w:rsidRPr="00E579CB">
        <w:rPr>
          <w:rFonts w:ascii="Helvetica Neue" w:hAnsi="Helvetica Neue" w:cs="Arial"/>
          <w:b w:val="0"/>
          <w:bCs w:val="0"/>
          <w:i/>
          <w:iCs/>
          <w:noProof/>
          <w:color w:val="auto"/>
          <w:sz w:val="21"/>
          <w:szCs w:val="21"/>
          <w:lang w:val="en-US" w:eastAsia="en-US"/>
        </w:rPr>
        <w:t>Income Tax Assessment Act 1997</w:t>
      </w:r>
      <w:r w:rsidRPr="00E579CB">
        <w:rPr>
          <w:rFonts w:ascii="Helvetica Neue" w:hAnsi="Helvetica Neue" w:cs="Arial"/>
          <w:b w:val="0"/>
          <w:bCs w:val="0"/>
          <w:noProof/>
          <w:color w:val="auto"/>
          <w:sz w:val="21"/>
          <w:szCs w:val="21"/>
          <w:lang w:val="en-US" w:eastAsia="en-US"/>
        </w:rPr>
        <w:t xml:space="preserve">. </w:t>
      </w:r>
    </w:p>
    <w:p w:rsidR="00E579CB" w:rsidRPr="00E579CB" w:rsidRDefault="00E579CB" w:rsidP="00E579CB">
      <w:pPr>
        <w:pStyle w:val="Heading-subsection"/>
        <w:tabs>
          <w:tab w:val="left" w:pos="0"/>
        </w:tabs>
        <w:spacing w:before="0" w:after="120" w:line="280" w:lineRule="atLeast"/>
        <w:rPr>
          <w:rFonts w:ascii="Helvetica Neue" w:hAnsi="Helvetica Neue" w:cs="Arial"/>
          <w:sz w:val="21"/>
          <w:szCs w:val="21"/>
        </w:rPr>
      </w:pPr>
      <w:r w:rsidRPr="00E579CB">
        <w:rPr>
          <w:rFonts w:ascii="Helvetica Neue" w:hAnsi="Helvetica Neue" w:cs="Arial"/>
          <w:sz w:val="21"/>
          <w:szCs w:val="21"/>
        </w:rPr>
        <w:t>(d) Cash and cash equivalents</w:t>
      </w:r>
    </w:p>
    <w:p w:rsidR="00E579CB" w:rsidRDefault="00E579CB" w:rsidP="00E579CB">
      <w:pPr>
        <w:pStyle w:val="NormalText"/>
        <w:tabs>
          <w:tab w:val="left" w:pos="0"/>
        </w:tabs>
        <w:spacing w:after="120" w:line="280" w:lineRule="atLeast"/>
        <w:ind w:left="0"/>
        <w:rPr>
          <w:rFonts w:ascii="Helvetica Neue" w:hAnsi="Helvetica Neue" w:cs="Arial"/>
          <w:sz w:val="21"/>
          <w:szCs w:val="21"/>
        </w:rPr>
      </w:pPr>
      <w:r w:rsidRPr="00E579CB">
        <w:rPr>
          <w:rFonts w:ascii="Helvetica Neue" w:hAnsi="Helvetica Neue" w:cs="Arial"/>
          <w:sz w:val="21"/>
          <w:szCs w:val="21"/>
        </w:rPr>
        <w:t xml:space="preserve">Cash and cash equivalents </w:t>
      </w:r>
      <w:proofErr w:type="gramStart"/>
      <w:r w:rsidRPr="00E579CB">
        <w:rPr>
          <w:rFonts w:ascii="Helvetica Neue" w:hAnsi="Helvetica Neue" w:cs="Arial"/>
          <w:sz w:val="21"/>
          <w:szCs w:val="21"/>
        </w:rPr>
        <w:t>includes</w:t>
      </w:r>
      <w:proofErr w:type="gramEnd"/>
      <w:r w:rsidRPr="00E579CB">
        <w:rPr>
          <w:rFonts w:ascii="Helvetica Neue" w:hAnsi="Helvetica Neue" w:cs="Arial"/>
          <w:sz w:val="21"/>
          <w:szCs w:val="21"/>
        </w:rPr>
        <w:t xml:space="preserve"> cash on hand, deposits held at call with financial institutions and other short</w:t>
      </w:r>
      <w:r w:rsidRPr="00E579CB">
        <w:rPr>
          <w:rFonts w:ascii="Helvetica Neue" w:hAnsi="Helvetica Neue" w:cs="Arial"/>
          <w:sz w:val="21"/>
          <w:szCs w:val="21"/>
        </w:rPr>
        <w:noBreakHyphen/>
        <w:t xml:space="preserve">term, highly liquid investments with original maturities of three months or less that are readily convertible to known amounts of cash and which are subject to an insignificant risk of changes in value. </w:t>
      </w:r>
    </w:p>
    <w:p w:rsidR="00E579CB" w:rsidRPr="00E579CB" w:rsidRDefault="00E579CB" w:rsidP="00E579CB">
      <w:pPr>
        <w:pStyle w:val="Heading-subsection"/>
        <w:tabs>
          <w:tab w:val="left" w:pos="0"/>
        </w:tabs>
        <w:spacing w:before="0" w:after="120" w:line="280" w:lineRule="atLeast"/>
        <w:rPr>
          <w:rFonts w:ascii="Helvetica Neue" w:hAnsi="Helvetica Neue" w:cs="Arial"/>
          <w:sz w:val="21"/>
          <w:szCs w:val="21"/>
        </w:rPr>
      </w:pPr>
      <w:r w:rsidRPr="00E579CB">
        <w:rPr>
          <w:rFonts w:ascii="Helvetica Neue" w:hAnsi="Helvetica Neue" w:cs="Arial"/>
          <w:sz w:val="21"/>
          <w:szCs w:val="21"/>
        </w:rPr>
        <w:t>(e) Receivables</w:t>
      </w:r>
    </w:p>
    <w:p w:rsidR="00E579CB" w:rsidRDefault="00E579CB" w:rsidP="00E579CB">
      <w:pPr>
        <w:pStyle w:val="NormalText"/>
        <w:tabs>
          <w:tab w:val="left" w:pos="0"/>
        </w:tabs>
        <w:spacing w:after="120" w:line="280" w:lineRule="atLeast"/>
        <w:ind w:left="0"/>
        <w:rPr>
          <w:rFonts w:ascii="Helvetica Neue" w:hAnsi="Helvetica Neue" w:cs="Arial"/>
          <w:sz w:val="21"/>
          <w:szCs w:val="21"/>
        </w:rPr>
      </w:pPr>
      <w:r w:rsidRPr="00E579CB">
        <w:rPr>
          <w:rFonts w:ascii="Helvetica Neue" w:hAnsi="Helvetica Neue" w:cs="Arial"/>
          <w:sz w:val="21"/>
          <w:szCs w:val="21"/>
        </w:rPr>
        <w:t>Receivables are initially recognised at fair value and subsequently measured at amortised cost using the effective interest method, less any allowance for expected credit losses. Receivables are due for settlement no more than 30 days from the date of recognition.</w:t>
      </w:r>
    </w:p>
    <w:p w:rsidR="00E579CB" w:rsidRPr="00E579CB" w:rsidRDefault="00E579CB" w:rsidP="00E579CB">
      <w:pPr>
        <w:pStyle w:val="NormalText"/>
        <w:tabs>
          <w:tab w:val="left" w:pos="0"/>
        </w:tabs>
        <w:spacing w:after="120" w:line="280" w:lineRule="atLeast"/>
        <w:ind w:left="0"/>
        <w:rPr>
          <w:rFonts w:ascii="Helvetica Neue" w:hAnsi="Helvetica Neue" w:cs="Arial"/>
          <w:sz w:val="21"/>
          <w:szCs w:val="21"/>
        </w:rPr>
      </w:pPr>
    </w:p>
    <w:p w:rsidR="00E579CB" w:rsidRPr="00E579CB" w:rsidRDefault="00E579CB" w:rsidP="00E579CB">
      <w:pPr>
        <w:pStyle w:val="NormalText"/>
        <w:tabs>
          <w:tab w:val="left" w:pos="0"/>
        </w:tabs>
        <w:spacing w:after="120" w:line="280" w:lineRule="atLeast"/>
        <w:ind w:left="0"/>
        <w:rPr>
          <w:rFonts w:ascii="Helvetica Neue" w:hAnsi="Helvetica Neue" w:cs="Arial"/>
          <w:sz w:val="21"/>
          <w:szCs w:val="21"/>
        </w:rPr>
      </w:pPr>
      <w:r w:rsidRPr="00E579CB">
        <w:rPr>
          <w:rFonts w:ascii="Helvetica Neue" w:hAnsi="Helvetica Neue" w:cs="Arial"/>
          <w:sz w:val="21"/>
          <w:szCs w:val="21"/>
        </w:rPr>
        <w:lastRenderedPageBreak/>
        <w:t>Collectability of trade receivables is reviewed on an ongoing basis. Debts which are known to be uncollectable are written off. The company has applied the simplified approach to measuring expected credit losses, which uses a lifetime expected loss allowance. To measure the expected credit losses, receivables have been grouped based on days overdue.</w:t>
      </w:r>
    </w:p>
    <w:p w:rsidR="00E579CB" w:rsidRPr="00E579CB" w:rsidRDefault="00E579CB" w:rsidP="00E579CB">
      <w:pPr>
        <w:pStyle w:val="Heading-subsection"/>
        <w:tabs>
          <w:tab w:val="left" w:pos="0"/>
        </w:tabs>
        <w:spacing w:before="0" w:after="120" w:line="280" w:lineRule="atLeast"/>
        <w:rPr>
          <w:rFonts w:ascii="Helvetica Neue" w:hAnsi="Helvetica Neue" w:cs="Arial"/>
          <w:sz w:val="21"/>
          <w:szCs w:val="21"/>
        </w:rPr>
      </w:pPr>
      <w:r w:rsidRPr="00E579CB">
        <w:rPr>
          <w:rFonts w:ascii="Helvetica Neue" w:hAnsi="Helvetica Neue" w:cs="Arial"/>
          <w:sz w:val="21"/>
          <w:szCs w:val="21"/>
        </w:rPr>
        <w:t>(f) Plant and other equipment</w:t>
      </w:r>
    </w:p>
    <w:p w:rsidR="00E579CB" w:rsidRPr="00E579CB" w:rsidRDefault="00E579CB" w:rsidP="00E579CB">
      <w:pPr>
        <w:pStyle w:val="Heading-subsection"/>
        <w:tabs>
          <w:tab w:val="left" w:pos="0"/>
        </w:tabs>
        <w:spacing w:before="0" w:after="120" w:line="280" w:lineRule="atLeast"/>
        <w:rPr>
          <w:rFonts w:ascii="Helvetica Neue" w:hAnsi="Helvetica Neue" w:cs="Arial"/>
          <w:b w:val="0"/>
          <w:sz w:val="21"/>
          <w:szCs w:val="21"/>
        </w:rPr>
      </w:pPr>
      <w:r w:rsidRPr="00E579CB">
        <w:rPr>
          <w:rFonts w:ascii="Helvetica Neue" w:hAnsi="Helvetica Neue" w:cs="Arial"/>
          <w:b w:val="0"/>
          <w:sz w:val="21"/>
          <w:szCs w:val="21"/>
        </w:rPr>
        <w:t>Plant and other equipment comprising fittings and furniture are initially recognised at acquisition cost, including any costs directly attributable to bringing the asset to the location and condition necessary for it to be capable of operating in the manner intended by the Company. This is subsequently measured using the cost model being, cost less subsequent depreciation and impairment losses.</w:t>
      </w:r>
    </w:p>
    <w:p w:rsidR="00E579CB" w:rsidRPr="00E579CB" w:rsidRDefault="00E579CB" w:rsidP="00E579CB">
      <w:pPr>
        <w:pStyle w:val="Heading-subsection"/>
        <w:tabs>
          <w:tab w:val="left" w:pos="0"/>
        </w:tabs>
        <w:spacing w:before="0" w:after="120" w:line="280" w:lineRule="atLeast"/>
        <w:rPr>
          <w:rFonts w:ascii="Helvetica Neue" w:hAnsi="Helvetica Neue" w:cs="Arial"/>
          <w:b w:val="0"/>
          <w:sz w:val="21"/>
          <w:szCs w:val="21"/>
        </w:rPr>
      </w:pPr>
      <w:r w:rsidRPr="00E579CB">
        <w:rPr>
          <w:rFonts w:ascii="Helvetica Neue" w:hAnsi="Helvetica Neue" w:cs="Arial"/>
          <w:b w:val="0"/>
          <w:sz w:val="21"/>
          <w:szCs w:val="21"/>
        </w:rPr>
        <w:t>Computer equipment is stated at historical cost less depreciation. Historical cost includes expenditure that is directly attributable to the acquisition of the items.</w:t>
      </w:r>
    </w:p>
    <w:p w:rsidR="00E579CB" w:rsidRPr="00E579CB" w:rsidRDefault="00E579CB" w:rsidP="00E579CB">
      <w:pPr>
        <w:pStyle w:val="Heading-subsection"/>
        <w:tabs>
          <w:tab w:val="left" w:pos="0"/>
        </w:tabs>
        <w:spacing w:before="0" w:after="120" w:line="280" w:lineRule="atLeast"/>
        <w:rPr>
          <w:rFonts w:ascii="Helvetica Neue" w:hAnsi="Helvetica Neue" w:cs="Arial"/>
          <w:b w:val="0"/>
          <w:sz w:val="21"/>
          <w:szCs w:val="21"/>
        </w:rPr>
      </w:pPr>
      <w:r w:rsidRPr="00E579CB">
        <w:rPr>
          <w:rFonts w:ascii="Helvetica Neue" w:hAnsi="Helvetica Neue" w:cs="Arial"/>
          <w:b w:val="0"/>
          <w:sz w:val="21"/>
          <w:szCs w:val="21"/>
        </w:rPr>
        <w:t>Subsequent costs are included in the asset’s carrying amount or recognised as a separate asset, as appropriate, only when it is probable that future economic benefits associated with the item will flow to the Company and the cost of the item can be measured reliably. All other repairs and maintenance are charged to the Statement of Profit or Loss and Other Comprehensive Income during the financial period in which they are incurred.</w:t>
      </w:r>
    </w:p>
    <w:p w:rsidR="00E579CB" w:rsidRPr="00E579CB" w:rsidRDefault="00E579CB" w:rsidP="00E579CB">
      <w:pPr>
        <w:pStyle w:val="Heading-subsection"/>
        <w:tabs>
          <w:tab w:val="left" w:pos="0"/>
        </w:tabs>
        <w:spacing w:before="0" w:after="120" w:line="280" w:lineRule="atLeast"/>
        <w:rPr>
          <w:rFonts w:ascii="Helvetica Neue" w:hAnsi="Helvetica Neue" w:cs="Arial"/>
          <w:sz w:val="21"/>
          <w:szCs w:val="21"/>
        </w:rPr>
      </w:pPr>
      <w:r w:rsidRPr="00E579CB">
        <w:rPr>
          <w:rFonts w:ascii="Helvetica Neue" w:hAnsi="Helvetica Neue" w:cs="Arial"/>
          <w:b w:val="0"/>
          <w:sz w:val="21"/>
          <w:szCs w:val="21"/>
        </w:rPr>
        <w:t>The depreciation rates used for each class of depreciable assets are</w:t>
      </w:r>
    </w:p>
    <w:p w:rsidR="00E579CB" w:rsidRPr="00E579CB" w:rsidRDefault="00E579CB" w:rsidP="00E579CB">
      <w:pPr>
        <w:pStyle w:val="Heading-subsection"/>
        <w:tabs>
          <w:tab w:val="left" w:pos="0"/>
          <w:tab w:val="right" w:pos="5387"/>
        </w:tabs>
        <w:spacing w:before="0" w:after="0" w:line="280" w:lineRule="atLeast"/>
        <w:rPr>
          <w:rFonts w:ascii="Helvetica Neue" w:hAnsi="Helvetica Neue" w:cs="Arial"/>
          <w:sz w:val="21"/>
          <w:szCs w:val="21"/>
        </w:rPr>
      </w:pPr>
      <w:r w:rsidRPr="00E579CB">
        <w:rPr>
          <w:rFonts w:ascii="Helvetica Neue" w:hAnsi="Helvetica Neue" w:cs="Arial"/>
          <w:sz w:val="21"/>
          <w:szCs w:val="21"/>
        </w:rPr>
        <w:t>Class of fixed asset</w:t>
      </w:r>
      <w:r w:rsidRPr="00E579CB">
        <w:rPr>
          <w:rFonts w:ascii="Helvetica Neue" w:hAnsi="Helvetica Neue" w:cs="Arial"/>
          <w:sz w:val="21"/>
          <w:szCs w:val="21"/>
        </w:rPr>
        <w:tab/>
        <w:t>Depreciation Rate</w:t>
      </w:r>
    </w:p>
    <w:p w:rsidR="00E579CB" w:rsidRPr="00E579CB" w:rsidRDefault="00E579CB" w:rsidP="00E579CB">
      <w:pPr>
        <w:pStyle w:val="Heading-subsection"/>
        <w:tabs>
          <w:tab w:val="left" w:pos="0"/>
          <w:tab w:val="right" w:pos="5387"/>
        </w:tabs>
        <w:spacing w:before="0" w:after="0" w:line="280" w:lineRule="atLeast"/>
        <w:rPr>
          <w:rFonts w:ascii="Helvetica Neue" w:hAnsi="Helvetica Neue" w:cs="Arial"/>
          <w:b w:val="0"/>
          <w:sz w:val="21"/>
          <w:szCs w:val="21"/>
        </w:rPr>
      </w:pPr>
      <w:r w:rsidRPr="00E579CB">
        <w:rPr>
          <w:rFonts w:ascii="Helvetica Neue" w:hAnsi="Helvetica Neue" w:cs="Arial"/>
          <w:b w:val="0"/>
          <w:sz w:val="21"/>
          <w:szCs w:val="21"/>
        </w:rPr>
        <w:t>Computer equipment</w:t>
      </w:r>
      <w:r w:rsidRPr="00E579CB">
        <w:rPr>
          <w:rFonts w:ascii="Helvetica Neue" w:hAnsi="Helvetica Neue" w:cs="Arial"/>
          <w:b w:val="0"/>
          <w:sz w:val="21"/>
          <w:szCs w:val="21"/>
        </w:rPr>
        <w:tab/>
        <w:t>5%-33.33%</w:t>
      </w:r>
    </w:p>
    <w:p w:rsidR="00E579CB" w:rsidRPr="00E579CB" w:rsidRDefault="00E579CB" w:rsidP="00E579CB">
      <w:pPr>
        <w:pStyle w:val="Heading-subsection"/>
        <w:tabs>
          <w:tab w:val="left" w:pos="0"/>
          <w:tab w:val="right" w:pos="5387"/>
        </w:tabs>
        <w:spacing w:before="0" w:after="0" w:line="280" w:lineRule="atLeast"/>
        <w:rPr>
          <w:rFonts w:ascii="Helvetica Neue" w:hAnsi="Helvetica Neue" w:cs="Arial"/>
          <w:b w:val="0"/>
          <w:sz w:val="21"/>
          <w:szCs w:val="21"/>
        </w:rPr>
      </w:pPr>
      <w:r w:rsidRPr="00E579CB">
        <w:rPr>
          <w:rFonts w:ascii="Helvetica Neue" w:hAnsi="Helvetica Neue" w:cs="Arial"/>
          <w:b w:val="0"/>
          <w:sz w:val="21"/>
          <w:szCs w:val="21"/>
        </w:rPr>
        <w:t>Furniture and fittings</w:t>
      </w:r>
      <w:r w:rsidRPr="00E579CB">
        <w:rPr>
          <w:rFonts w:ascii="Helvetica Neue" w:hAnsi="Helvetica Neue" w:cs="Arial"/>
          <w:b w:val="0"/>
          <w:sz w:val="21"/>
          <w:szCs w:val="21"/>
        </w:rPr>
        <w:tab/>
        <w:t>5%-25%</w:t>
      </w:r>
    </w:p>
    <w:p w:rsidR="00E579CB" w:rsidRPr="00E579CB" w:rsidRDefault="00E579CB" w:rsidP="00E579CB">
      <w:pPr>
        <w:pStyle w:val="Heading-subsection"/>
        <w:tabs>
          <w:tab w:val="left" w:pos="0"/>
        </w:tabs>
        <w:spacing w:before="0" w:after="120" w:line="280" w:lineRule="atLeast"/>
        <w:rPr>
          <w:rFonts w:ascii="Helvetica Neue" w:hAnsi="Helvetica Neue" w:cs="Arial"/>
          <w:b w:val="0"/>
          <w:sz w:val="21"/>
          <w:szCs w:val="21"/>
        </w:rPr>
      </w:pPr>
    </w:p>
    <w:p w:rsidR="00E579CB" w:rsidRPr="00E579CB" w:rsidRDefault="00E579CB" w:rsidP="00E579CB">
      <w:pPr>
        <w:pStyle w:val="Heading-subsection"/>
        <w:tabs>
          <w:tab w:val="left" w:pos="0"/>
        </w:tabs>
        <w:spacing w:before="0" w:after="120" w:line="280" w:lineRule="atLeast"/>
        <w:rPr>
          <w:rFonts w:ascii="Helvetica Neue" w:hAnsi="Helvetica Neue" w:cs="Arial"/>
          <w:b w:val="0"/>
          <w:bCs w:val="0"/>
          <w:sz w:val="21"/>
          <w:szCs w:val="21"/>
        </w:rPr>
      </w:pPr>
      <w:r w:rsidRPr="00E579CB">
        <w:rPr>
          <w:rFonts w:ascii="Helvetica Neue" w:hAnsi="Helvetica Neue" w:cs="Arial"/>
          <w:b w:val="0"/>
          <w:sz w:val="21"/>
          <w:szCs w:val="21"/>
        </w:rPr>
        <w:t xml:space="preserve">The assets’ residual values and useful lives are reviewed, and adjusted if appropriate, at each reporting </w:t>
      </w:r>
      <w:r w:rsidRPr="00E579CB">
        <w:rPr>
          <w:rFonts w:ascii="Helvetica Neue" w:hAnsi="Helvetica Neue" w:cs="Arial"/>
          <w:b w:val="0"/>
          <w:bCs w:val="0"/>
          <w:sz w:val="21"/>
          <w:szCs w:val="21"/>
        </w:rPr>
        <w:t>date.  An asset’s carrying amount is written down immediately to its recoverable amount if the asset’s carrying amount is greater than its estimated recoverable amount.  Gains and losses on disposals are determined by comparing proceeds with carrying amount. These are included in the Statement of Profit or Loss and Other Comprehensive Income.</w:t>
      </w:r>
    </w:p>
    <w:p w:rsidR="00E579CB" w:rsidRPr="00E579CB" w:rsidRDefault="00E579CB" w:rsidP="00E579CB">
      <w:pPr>
        <w:pStyle w:val="Heading-subsection"/>
        <w:tabs>
          <w:tab w:val="left" w:pos="0"/>
        </w:tabs>
        <w:spacing w:before="0" w:after="120" w:line="280" w:lineRule="atLeast"/>
        <w:rPr>
          <w:rFonts w:ascii="Helvetica Neue" w:hAnsi="Helvetica Neue" w:cs="Arial"/>
          <w:b w:val="0"/>
          <w:sz w:val="21"/>
          <w:szCs w:val="21"/>
        </w:rPr>
      </w:pPr>
      <w:r w:rsidRPr="00E579CB">
        <w:rPr>
          <w:rFonts w:ascii="Helvetica Neue" w:hAnsi="Helvetica Neue" w:cs="Arial"/>
          <w:sz w:val="21"/>
          <w:szCs w:val="21"/>
        </w:rPr>
        <w:t>(g) Intangible assets</w:t>
      </w:r>
    </w:p>
    <w:p w:rsidR="00E579CB" w:rsidRPr="00E579CB" w:rsidRDefault="00E579CB" w:rsidP="00E579CB">
      <w:pPr>
        <w:pStyle w:val="NormalText"/>
        <w:spacing w:after="120" w:line="280" w:lineRule="atLeast"/>
        <w:ind w:left="0"/>
        <w:rPr>
          <w:rFonts w:ascii="Helvetica Neue" w:hAnsi="Helvetica Neue" w:cs="Arial"/>
          <w:sz w:val="21"/>
          <w:szCs w:val="21"/>
        </w:rPr>
      </w:pPr>
      <w:r w:rsidRPr="00E579CB">
        <w:rPr>
          <w:rFonts w:ascii="Helvetica Neue" w:hAnsi="Helvetica Neue" w:cs="Arial"/>
          <w:sz w:val="21"/>
          <w:szCs w:val="21"/>
        </w:rPr>
        <w:t xml:space="preserve">Intangible assets are recorded at cost less accumulated amortisation and impairment. Amortisation is charged on a </w:t>
      </w:r>
      <w:proofErr w:type="gramStart"/>
      <w:r w:rsidRPr="00E579CB">
        <w:rPr>
          <w:rFonts w:ascii="Helvetica Neue" w:hAnsi="Helvetica Neue" w:cs="Arial"/>
          <w:sz w:val="21"/>
          <w:szCs w:val="21"/>
        </w:rPr>
        <w:t>straight line</w:t>
      </w:r>
      <w:proofErr w:type="gramEnd"/>
      <w:r w:rsidRPr="00E579CB">
        <w:rPr>
          <w:rFonts w:ascii="Helvetica Neue" w:hAnsi="Helvetica Neue" w:cs="Arial"/>
          <w:sz w:val="21"/>
          <w:szCs w:val="21"/>
        </w:rPr>
        <w:t xml:space="preserve"> basis over their estimated useful economic lives. The estimated useful economic life and amortisation method is reviewed at the end of each annual reporting period, with any changes in these </w:t>
      </w:r>
    </w:p>
    <w:p w:rsidR="00E579CB" w:rsidRPr="00E579CB" w:rsidRDefault="00E579CB" w:rsidP="00E579CB">
      <w:pPr>
        <w:pStyle w:val="NormalText"/>
        <w:spacing w:after="120" w:line="280" w:lineRule="atLeast"/>
        <w:ind w:left="0"/>
        <w:rPr>
          <w:rFonts w:ascii="Helvetica Neue" w:hAnsi="Helvetica Neue" w:cs="Arial"/>
          <w:sz w:val="21"/>
          <w:szCs w:val="21"/>
        </w:rPr>
      </w:pPr>
      <w:r w:rsidRPr="00E579CB">
        <w:rPr>
          <w:rFonts w:ascii="Helvetica Neue" w:hAnsi="Helvetica Neue" w:cs="Arial"/>
          <w:sz w:val="21"/>
          <w:szCs w:val="21"/>
        </w:rPr>
        <w:t>accounting estimates being accounted for on a prospective basis. The following useful lives are used in the calculation of amortisation:</w:t>
      </w:r>
    </w:p>
    <w:p w:rsidR="00E579CB" w:rsidRPr="00E579CB" w:rsidRDefault="00E579CB" w:rsidP="00E579CB">
      <w:pPr>
        <w:pStyle w:val="NormalText"/>
        <w:spacing w:after="120" w:line="280" w:lineRule="atLeast"/>
        <w:ind w:left="0"/>
        <w:rPr>
          <w:rFonts w:ascii="Helvetica Neue" w:hAnsi="Helvetica Neue" w:cs="Arial"/>
          <w:sz w:val="21"/>
          <w:szCs w:val="21"/>
        </w:rPr>
      </w:pPr>
      <w:r w:rsidRPr="00E579CB">
        <w:rPr>
          <w:rFonts w:ascii="Helvetica Neue" w:hAnsi="Helvetica Neue" w:cs="Arial"/>
          <w:sz w:val="21"/>
          <w:szCs w:val="21"/>
        </w:rPr>
        <w:t>Software: 2 years</w:t>
      </w:r>
    </w:p>
    <w:p w:rsidR="00E579CB" w:rsidRDefault="00E579CB" w:rsidP="00E579CB">
      <w:pPr>
        <w:pStyle w:val="NormalText"/>
        <w:spacing w:after="120" w:line="280" w:lineRule="atLeast"/>
        <w:ind w:left="0"/>
        <w:rPr>
          <w:rFonts w:ascii="Helvetica Neue" w:hAnsi="Helvetica Neue" w:cs="Arial"/>
          <w:b/>
          <w:sz w:val="21"/>
          <w:szCs w:val="21"/>
        </w:rPr>
      </w:pPr>
    </w:p>
    <w:p w:rsidR="00E579CB" w:rsidRDefault="00E579CB" w:rsidP="00E579CB">
      <w:pPr>
        <w:pStyle w:val="NormalText"/>
        <w:spacing w:after="120" w:line="280" w:lineRule="atLeast"/>
        <w:ind w:left="0"/>
        <w:rPr>
          <w:rFonts w:ascii="Helvetica Neue" w:hAnsi="Helvetica Neue" w:cs="Arial"/>
          <w:b/>
          <w:sz w:val="21"/>
          <w:szCs w:val="21"/>
        </w:rPr>
      </w:pPr>
    </w:p>
    <w:p w:rsidR="00E579CB" w:rsidRDefault="00E579CB" w:rsidP="00E579CB">
      <w:pPr>
        <w:pStyle w:val="NormalText"/>
        <w:spacing w:after="120" w:line="280" w:lineRule="atLeast"/>
        <w:ind w:left="0"/>
        <w:rPr>
          <w:rFonts w:ascii="Helvetica Neue" w:hAnsi="Helvetica Neue" w:cs="Arial"/>
          <w:b/>
          <w:sz w:val="21"/>
          <w:szCs w:val="21"/>
        </w:rPr>
      </w:pPr>
    </w:p>
    <w:p w:rsidR="00E579CB" w:rsidRDefault="00E579CB" w:rsidP="00E579CB">
      <w:pPr>
        <w:pStyle w:val="NormalText"/>
        <w:spacing w:after="120" w:line="280" w:lineRule="atLeast"/>
        <w:ind w:left="0"/>
        <w:rPr>
          <w:rFonts w:ascii="Helvetica Neue" w:hAnsi="Helvetica Neue" w:cs="Arial"/>
          <w:b/>
          <w:sz w:val="21"/>
          <w:szCs w:val="21"/>
        </w:rPr>
      </w:pPr>
    </w:p>
    <w:p w:rsidR="00E579CB" w:rsidRDefault="00E579CB" w:rsidP="00E579CB">
      <w:pPr>
        <w:pStyle w:val="NormalText"/>
        <w:spacing w:after="120" w:line="280" w:lineRule="atLeast"/>
        <w:ind w:left="0"/>
        <w:rPr>
          <w:rFonts w:ascii="Helvetica Neue" w:hAnsi="Helvetica Neue" w:cs="Arial"/>
          <w:b/>
          <w:sz w:val="21"/>
          <w:szCs w:val="21"/>
        </w:rPr>
      </w:pPr>
    </w:p>
    <w:p w:rsidR="00E579CB" w:rsidRPr="00E579CB" w:rsidRDefault="00E579CB" w:rsidP="00E579CB">
      <w:pPr>
        <w:pStyle w:val="NormalText"/>
        <w:spacing w:after="120" w:line="280" w:lineRule="atLeast"/>
        <w:ind w:left="0"/>
        <w:rPr>
          <w:rFonts w:ascii="Helvetica Neue" w:hAnsi="Helvetica Neue" w:cs="Arial"/>
          <w:b/>
          <w:sz w:val="21"/>
          <w:szCs w:val="21"/>
        </w:rPr>
      </w:pPr>
      <w:r w:rsidRPr="00E579CB">
        <w:rPr>
          <w:rFonts w:ascii="Helvetica Neue" w:hAnsi="Helvetica Neue" w:cs="Arial"/>
          <w:b/>
          <w:sz w:val="21"/>
          <w:szCs w:val="21"/>
        </w:rPr>
        <w:lastRenderedPageBreak/>
        <w:t>(h) Fair value estimation</w:t>
      </w:r>
    </w:p>
    <w:p w:rsidR="00E579CB" w:rsidRPr="00E579CB" w:rsidRDefault="00E579CB" w:rsidP="00E579CB">
      <w:pPr>
        <w:pStyle w:val="NormalText"/>
        <w:spacing w:after="120" w:line="280" w:lineRule="atLeast"/>
        <w:ind w:left="0"/>
        <w:rPr>
          <w:rFonts w:ascii="Helvetica Neue" w:hAnsi="Helvetica Neue" w:cs="Arial"/>
          <w:sz w:val="21"/>
          <w:szCs w:val="21"/>
        </w:rPr>
      </w:pPr>
      <w:r w:rsidRPr="00E579CB">
        <w:rPr>
          <w:rFonts w:ascii="Helvetica Neue" w:hAnsi="Helvetica Neue" w:cs="Arial"/>
          <w:sz w:val="21"/>
          <w:szCs w:val="21"/>
        </w:rPr>
        <w:t>The fair value of financial assets and financial liabilities must be estimated for recognition and measurement or for disclosure purposes.</w:t>
      </w:r>
    </w:p>
    <w:p w:rsidR="00E579CB" w:rsidRPr="00E579CB" w:rsidRDefault="00E579CB" w:rsidP="00E579CB">
      <w:pPr>
        <w:pStyle w:val="NormalText"/>
        <w:spacing w:after="120" w:line="280" w:lineRule="atLeast"/>
        <w:ind w:left="0"/>
        <w:rPr>
          <w:rFonts w:ascii="Helvetica Neue" w:hAnsi="Helvetica Neue" w:cs="Arial"/>
          <w:sz w:val="21"/>
          <w:szCs w:val="21"/>
        </w:rPr>
      </w:pPr>
      <w:r w:rsidRPr="00E579CB">
        <w:rPr>
          <w:rFonts w:ascii="Helvetica Neue" w:hAnsi="Helvetica Neue" w:cs="Arial"/>
          <w:sz w:val="21"/>
          <w:szCs w:val="21"/>
        </w:rPr>
        <w:t>The nominal value less estimated credit adjustments of trade receivables and payables are assumed to approximate their fair values. The fair value of financial liabilities for disclosure purposes is estimated by discounting the future contractual cash flows at the current market interest rate that is available to the Company for similar financial instruments.</w:t>
      </w:r>
    </w:p>
    <w:p w:rsidR="00E579CB" w:rsidRPr="00E579CB" w:rsidRDefault="00E579CB" w:rsidP="00E579CB">
      <w:pPr>
        <w:pStyle w:val="Heading-subsection"/>
        <w:tabs>
          <w:tab w:val="left" w:pos="679"/>
        </w:tabs>
        <w:spacing w:before="0" w:after="120" w:line="280" w:lineRule="atLeast"/>
        <w:rPr>
          <w:rFonts w:ascii="Helvetica Neue" w:hAnsi="Helvetica Neue" w:cs="Arial"/>
          <w:sz w:val="21"/>
          <w:szCs w:val="21"/>
        </w:rPr>
      </w:pPr>
      <w:r w:rsidRPr="00E579CB">
        <w:rPr>
          <w:rFonts w:ascii="Helvetica Neue" w:hAnsi="Helvetica Neue" w:cs="Arial"/>
          <w:sz w:val="21"/>
          <w:szCs w:val="21"/>
        </w:rPr>
        <w:t>(</w:t>
      </w:r>
      <w:proofErr w:type="spellStart"/>
      <w:r w:rsidRPr="00E579CB">
        <w:rPr>
          <w:rFonts w:ascii="Helvetica Neue" w:hAnsi="Helvetica Neue" w:cs="Arial"/>
          <w:sz w:val="21"/>
          <w:szCs w:val="21"/>
        </w:rPr>
        <w:t>i</w:t>
      </w:r>
      <w:proofErr w:type="spellEnd"/>
      <w:r w:rsidRPr="00E579CB">
        <w:rPr>
          <w:rFonts w:ascii="Helvetica Neue" w:hAnsi="Helvetica Neue" w:cs="Arial"/>
          <w:sz w:val="21"/>
          <w:szCs w:val="21"/>
        </w:rPr>
        <w:t>) Payables</w:t>
      </w:r>
    </w:p>
    <w:p w:rsidR="00E579CB" w:rsidRPr="00E579CB" w:rsidRDefault="00E579CB" w:rsidP="00E579CB">
      <w:pPr>
        <w:pStyle w:val="NormalText"/>
        <w:spacing w:after="120" w:line="280" w:lineRule="atLeast"/>
        <w:ind w:left="0"/>
        <w:rPr>
          <w:rFonts w:ascii="Helvetica Neue" w:hAnsi="Helvetica Neue" w:cs="Arial"/>
          <w:sz w:val="21"/>
          <w:szCs w:val="21"/>
        </w:rPr>
      </w:pPr>
      <w:r w:rsidRPr="00E579CB">
        <w:rPr>
          <w:rFonts w:ascii="Helvetica Neue" w:hAnsi="Helvetica Neue" w:cs="Arial"/>
          <w:sz w:val="21"/>
          <w:szCs w:val="21"/>
        </w:rPr>
        <w:t>These amounts represent liabilities for goods and services provided to the Company prior to the end of financial year which are unpaid. Due to their short-term nature, they are measured at amortised cost and are not discounted. The amounts are unsecured and are usually paid within 60 days of recognition.</w:t>
      </w:r>
    </w:p>
    <w:p w:rsidR="00E579CB" w:rsidRPr="00E579CB" w:rsidRDefault="00E579CB" w:rsidP="00E579CB">
      <w:pPr>
        <w:pStyle w:val="Heading-subsection"/>
        <w:tabs>
          <w:tab w:val="left" w:pos="679"/>
        </w:tabs>
        <w:spacing w:before="0" w:after="120" w:line="280" w:lineRule="atLeast"/>
        <w:rPr>
          <w:rFonts w:ascii="Helvetica Neue" w:hAnsi="Helvetica Neue" w:cs="Arial"/>
          <w:b w:val="0"/>
          <w:sz w:val="21"/>
          <w:szCs w:val="21"/>
        </w:rPr>
      </w:pPr>
      <w:r w:rsidRPr="00E579CB">
        <w:rPr>
          <w:rFonts w:ascii="Helvetica Neue" w:hAnsi="Helvetica Neue" w:cs="Arial"/>
          <w:sz w:val="21"/>
          <w:szCs w:val="21"/>
        </w:rPr>
        <w:t>(j) Goods and Services Tax</w:t>
      </w:r>
    </w:p>
    <w:p w:rsidR="00E579CB" w:rsidRPr="00E579CB" w:rsidRDefault="00E579CB" w:rsidP="00E579CB">
      <w:pPr>
        <w:pStyle w:val="NormalText"/>
        <w:spacing w:after="120" w:line="280" w:lineRule="atLeast"/>
        <w:ind w:left="0"/>
        <w:rPr>
          <w:rFonts w:ascii="Helvetica Neue" w:hAnsi="Helvetica Neue" w:cs="Arial"/>
          <w:sz w:val="21"/>
          <w:szCs w:val="21"/>
        </w:rPr>
      </w:pPr>
      <w:r w:rsidRPr="00E579CB">
        <w:rPr>
          <w:rFonts w:ascii="Helvetica Neue" w:hAnsi="Helvetica Neue" w:cs="Arial"/>
          <w:sz w:val="21"/>
          <w:szCs w:val="21"/>
        </w:rPr>
        <w:t>Revenues, expenses and assets are recognised net of the amount of associated GST except for the following:</w:t>
      </w:r>
    </w:p>
    <w:p w:rsidR="00E579CB" w:rsidRPr="00E579CB" w:rsidRDefault="00E579CB" w:rsidP="002E5863">
      <w:pPr>
        <w:pStyle w:val="NormalText"/>
        <w:numPr>
          <w:ilvl w:val="0"/>
          <w:numId w:val="9"/>
        </w:numPr>
        <w:tabs>
          <w:tab w:val="clear" w:pos="720"/>
        </w:tabs>
        <w:spacing w:after="0" w:line="280" w:lineRule="atLeast"/>
        <w:ind w:left="426" w:hanging="426"/>
        <w:rPr>
          <w:rFonts w:ascii="Helvetica Neue" w:hAnsi="Helvetica Neue" w:cs="Arial"/>
          <w:sz w:val="21"/>
          <w:szCs w:val="21"/>
        </w:rPr>
      </w:pPr>
      <w:r w:rsidRPr="00E579CB">
        <w:rPr>
          <w:rFonts w:ascii="Helvetica Neue" w:hAnsi="Helvetica Neue" w:cs="Arial"/>
          <w:sz w:val="21"/>
          <w:szCs w:val="21"/>
        </w:rPr>
        <w:t>Receivables and Payables are stated inclusive of GST</w:t>
      </w:r>
    </w:p>
    <w:p w:rsidR="00E579CB" w:rsidRPr="00E579CB" w:rsidRDefault="00E579CB" w:rsidP="002E5863">
      <w:pPr>
        <w:pStyle w:val="NormalText"/>
        <w:numPr>
          <w:ilvl w:val="0"/>
          <w:numId w:val="9"/>
        </w:numPr>
        <w:tabs>
          <w:tab w:val="clear" w:pos="720"/>
        </w:tabs>
        <w:spacing w:after="120" w:line="280" w:lineRule="atLeast"/>
        <w:ind w:left="426" w:hanging="426"/>
        <w:rPr>
          <w:rFonts w:ascii="Helvetica Neue" w:hAnsi="Helvetica Neue" w:cs="Arial"/>
          <w:sz w:val="21"/>
          <w:szCs w:val="21"/>
        </w:rPr>
      </w:pPr>
      <w:r w:rsidRPr="00E579CB">
        <w:rPr>
          <w:rFonts w:ascii="Helvetica Neue" w:hAnsi="Helvetica Neue" w:cs="Arial"/>
          <w:sz w:val="21"/>
          <w:szCs w:val="21"/>
        </w:rPr>
        <w:t>Where GST is not recoverable from the Australian Taxation Office</w:t>
      </w:r>
    </w:p>
    <w:p w:rsidR="00E579CB" w:rsidRPr="00E579CB" w:rsidRDefault="00E579CB" w:rsidP="00E579CB">
      <w:pPr>
        <w:pStyle w:val="NormalText"/>
        <w:spacing w:after="120" w:line="280" w:lineRule="atLeast"/>
        <w:ind w:left="0"/>
        <w:rPr>
          <w:rFonts w:ascii="Helvetica Neue" w:hAnsi="Helvetica Neue" w:cs="Arial"/>
          <w:sz w:val="21"/>
          <w:szCs w:val="21"/>
        </w:rPr>
      </w:pPr>
      <w:r w:rsidRPr="00E579CB">
        <w:rPr>
          <w:rFonts w:ascii="Helvetica Neue" w:hAnsi="Helvetica Neue" w:cs="Arial"/>
          <w:sz w:val="21"/>
          <w:szCs w:val="21"/>
        </w:rPr>
        <w:t>In these circumstances the GST is recognised as part of the cost of acquisition of the asset or as part of an item of expense.</w:t>
      </w:r>
    </w:p>
    <w:p w:rsidR="00E579CB" w:rsidRPr="00E579CB" w:rsidRDefault="00E579CB" w:rsidP="00E579CB">
      <w:pPr>
        <w:pStyle w:val="Heading-subsection"/>
        <w:tabs>
          <w:tab w:val="left" w:pos="679"/>
        </w:tabs>
        <w:spacing w:before="0" w:after="120" w:line="280" w:lineRule="atLeast"/>
        <w:rPr>
          <w:rFonts w:ascii="Helvetica Neue" w:hAnsi="Helvetica Neue" w:cs="Arial"/>
          <w:bCs w:val="0"/>
          <w:color w:val="auto"/>
          <w:sz w:val="21"/>
          <w:szCs w:val="21"/>
          <w:lang w:eastAsia="en-US"/>
        </w:rPr>
      </w:pPr>
      <w:r w:rsidRPr="00E579CB">
        <w:rPr>
          <w:rFonts w:ascii="Helvetica Neue" w:hAnsi="Helvetica Neue" w:cs="Arial"/>
          <w:bCs w:val="0"/>
          <w:color w:val="auto"/>
          <w:sz w:val="21"/>
          <w:szCs w:val="21"/>
          <w:lang w:eastAsia="en-US"/>
        </w:rPr>
        <w:t>(k) Employee benefits</w:t>
      </w:r>
    </w:p>
    <w:p w:rsidR="00E579CB" w:rsidRPr="00E579CB" w:rsidRDefault="00E579CB" w:rsidP="00E579CB">
      <w:pPr>
        <w:pStyle w:val="NormalText"/>
        <w:spacing w:after="120" w:line="280" w:lineRule="atLeast"/>
        <w:ind w:left="0"/>
        <w:rPr>
          <w:rFonts w:ascii="Helvetica Neue" w:hAnsi="Helvetica Neue" w:cs="Arial"/>
          <w:sz w:val="21"/>
          <w:szCs w:val="21"/>
        </w:rPr>
      </w:pPr>
      <w:r w:rsidRPr="00E579CB">
        <w:rPr>
          <w:rFonts w:ascii="Helvetica Neue" w:hAnsi="Helvetica Neue" w:cs="Arial"/>
          <w:sz w:val="21"/>
          <w:szCs w:val="21"/>
        </w:rPr>
        <w:t>Provision is made for the Company’s liability for employee benefits arising from services rendered by employees to reporting date. Employee benefits expected to be settled within one year together with benefits arising from wages, salaries and annual leave which may be settled after one year, have been measured at the amounts expected to be paid when the liability is settled plus related on costs. Other employee benefits payable later than one year have been measured at the net present value. Statutory contributions are made by the Company to defined contribution superannuation funds and are charged as expenses when incurred.</w:t>
      </w:r>
    </w:p>
    <w:p w:rsidR="00E579CB" w:rsidRDefault="00E579CB">
      <w:pPr>
        <w:spacing w:after="0" w:line="240" w:lineRule="auto"/>
        <w:rPr>
          <w:rFonts w:ascii="Helvetica Neue Condensed" w:eastAsia="Helvetica Neue" w:hAnsi="Helvetica Neue Condensed" w:cstheme="majorBidi"/>
          <w:b/>
          <w:color w:val="000000" w:themeColor="text1"/>
          <w:sz w:val="40"/>
          <w:szCs w:val="40"/>
        </w:rPr>
      </w:pPr>
      <w:r>
        <w:br w:type="page"/>
      </w:r>
    </w:p>
    <w:p w:rsidR="00E579CB" w:rsidRPr="00E579CB" w:rsidRDefault="00E579CB" w:rsidP="00E579CB">
      <w:pPr>
        <w:pStyle w:val="Heading2"/>
        <w:spacing w:line="264" w:lineRule="auto"/>
        <w:rPr>
          <w:bCs/>
        </w:rPr>
      </w:pPr>
      <w:r w:rsidRPr="00E579CB">
        <w:lastRenderedPageBreak/>
        <w:t>2 Critical accounting judgements, estimates and assumptions</w:t>
      </w:r>
    </w:p>
    <w:p w:rsidR="00E579CB" w:rsidRPr="00E579CB" w:rsidRDefault="00E579CB" w:rsidP="00E579CB">
      <w:pPr>
        <w:widowControl w:val="0"/>
        <w:spacing w:line="280" w:lineRule="atLeast"/>
        <w:rPr>
          <w:rFonts w:cs="Arial"/>
          <w:color w:val="000000"/>
          <w:szCs w:val="21"/>
          <w:lang w:eastAsia="en-AU"/>
        </w:rPr>
      </w:pPr>
      <w:r w:rsidRPr="00E579CB">
        <w:rPr>
          <w:rFonts w:cs="Arial"/>
          <w:color w:val="000000"/>
          <w:szCs w:val="21"/>
          <w:lang w:eastAsia="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rsidR="00E579CB" w:rsidRPr="00E579CB" w:rsidRDefault="00E579CB" w:rsidP="00E579CB">
      <w:pPr>
        <w:widowControl w:val="0"/>
        <w:spacing w:line="280" w:lineRule="atLeast"/>
        <w:rPr>
          <w:rFonts w:cs="Arial"/>
          <w:i/>
          <w:color w:val="000000"/>
          <w:szCs w:val="21"/>
          <w:lang w:eastAsia="en-AU"/>
        </w:rPr>
      </w:pPr>
      <w:r w:rsidRPr="00E579CB">
        <w:rPr>
          <w:rFonts w:cs="Arial"/>
          <w:i/>
          <w:color w:val="000000"/>
          <w:szCs w:val="21"/>
          <w:lang w:eastAsia="en-AU"/>
        </w:rPr>
        <w:t>Estimation of useful lives of assets</w:t>
      </w:r>
    </w:p>
    <w:p w:rsidR="00E579CB" w:rsidRPr="00E579CB" w:rsidRDefault="00E579CB" w:rsidP="00E579CB">
      <w:pPr>
        <w:widowControl w:val="0"/>
        <w:spacing w:line="280" w:lineRule="atLeast"/>
        <w:rPr>
          <w:rFonts w:cs="Arial"/>
          <w:color w:val="000000"/>
          <w:szCs w:val="21"/>
          <w:lang w:eastAsia="en-AU"/>
        </w:rPr>
      </w:pPr>
      <w:r w:rsidRPr="00E579CB">
        <w:rPr>
          <w:rFonts w:cs="Arial"/>
          <w:color w:val="000000"/>
          <w:szCs w:val="21"/>
          <w:lang w:eastAsia="en-AU"/>
        </w:rPr>
        <w:t>The company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rsidR="00E579CB" w:rsidRPr="00E579CB" w:rsidRDefault="00E579CB" w:rsidP="00E579CB">
      <w:pPr>
        <w:widowControl w:val="0"/>
        <w:spacing w:line="280" w:lineRule="atLeast"/>
        <w:rPr>
          <w:rFonts w:cs="Arial"/>
          <w:i/>
          <w:color w:val="000000"/>
          <w:szCs w:val="21"/>
          <w:lang w:eastAsia="en-AU"/>
        </w:rPr>
      </w:pPr>
      <w:r w:rsidRPr="00E579CB">
        <w:rPr>
          <w:rFonts w:cs="Arial"/>
          <w:i/>
          <w:color w:val="000000"/>
          <w:szCs w:val="21"/>
          <w:lang w:eastAsia="en-AU"/>
        </w:rPr>
        <w:t>Employee benefits provision</w:t>
      </w:r>
    </w:p>
    <w:p w:rsidR="00E579CB" w:rsidRPr="00E579CB" w:rsidRDefault="00E579CB" w:rsidP="00E579CB">
      <w:pPr>
        <w:widowControl w:val="0"/>
        <w:spacing w:line="280" w:lineRule="atLeast"/>
        <w:rPr>
          <w:rFonts w:cs="Arial"/>
          <w:color w:val="000000"/>
          <w:szCs w:val="21"/>
          <w:lang w:eastAsia="en-AU"/>
        </w:rPr>
      </w:pPr>
      <w:r w:rsidRPr="00E579CB">
        <w:rPr>
          <w:rFonts w:cs="Arial"/>
          <w:color w:val="000000"/>
          <w:szCs w:val="21"/>
          <w:lang w:eastAsia="en-AU"/>
        </w:rPr>
        <w:t>As discussed in note 1(k),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rsidR="00E579CB" w:rsidRPr="00E579CB" w:rsidRDefault="00E579CB" w:rsidP="00E579CB">
      <w:pPr>
        <w:widowControl w:val="0"/>
        <w:spacing w:line="280" w:lineRule="atLeast"/>
        <w:rPr>
          <w:rFonts w:cs="Arial"/>
          <w:color w:val="000000"/>
          <w:szCs w:val="21"/>
          <w:lang w:eastAsia="en-AU"/>
        </w:rPr>
      </w:pPr>
    </w:p>
    <w:p w:rsidR="00E579CB" w:rsidRPr="00E579CB" w:rsidRDefault="00E579CB" w:rsidP="00E579CB">
      <w:pPr>
        <w:widowControl w:val="0"/>
        <w:spacing w:line="280" w:lineRule="atLeast"/>
        <w:rPr>
          <w:rFonts w:cs="Arial"/>
          <w:color w:val="000000"/>
          <w:szCs w:val="21"/>
          <w:lang w:eastAsia="en-AU"/>
        </w:rPr>
      </w:pPr>
    </w:p>
    <w:p w:rsidR="00E579CB" w:rsidRPr="00E579CB" w:rsidRDefault="00E579CB" w:rsidP="00E579CB">
      <w:pPr>
        <w:widowControl w:val="0"/>
        <w:spacing w:line="280" w:lineRule="atLeast"/>
        <w:rPr>
          <w:rFonts w:cs="Arial"/>
          <w:color w:val="000000"/>
          <w:szCs w:val="21"/>
          <w:lang w:eastAsia="en-AU"/>
        </w:rPr>
      </w:pPr>
    </w:p>
    <w:p w:rsidR="00E579CB" w:rsidRPr="00E579CB" w:rsidRDefault="00E579CB" w:rsidP="00E579CB">
      <w:pPr>
        <w:widowControl w:val="0"/>
        <w:spacing w:line="280" w:lineRule="atLeast"/>
        <w:rPr>
          <w:rFonts w:cs="Arial"/>
          <w:color w:val="000000"/>
          <w:szCs w:val="21"/>
          <w:lang w:eastAsia="en-AU"/>
        </w:rPr>
      </w:pPr>
    </w:p>
    <w:p w:rsidR="00E579CB" w:rsidRPr="00E579CB" w:rsidRDefault="00E579CB" w:rsidP="00E579CB">
      <w:pPr>
        <w:widowControl w:val="0"/>
        <w:spacing w:line="280" w:lineRule="atLeast"/>
        <w:rPr>
          <w:rFonts w:cs="Arial"/>
          <w:color w:val="000000"/>
          <w:szCs w:val="21"/>
          <w:lang w:eastAsia="en-AU"/>
        </w:rPr>
      </w:pPr>
    </w:p>
    <w:p w:rsidR="00E579CB" w:rsidRPr="00E579CB" w:rsidRDefault="00E579CB" w:rsidP="00E579CB">
      <w:pPr>
        <w:widowControl w:val="0"/>
        <w:spacing w:line="280" w:lineRule="atLeast"/>
        <w:rPr>
          <w:rFonts w:cs="Arial"/>
          <w:color w:val="000000"/>
          <w:szCs w:val="21"/>
          <w:lang w:eastAsia="en-AU"/>
        </w:rPr>
      </w:pPr>
    </w:p>
    <w:p w:rsidR="00E579CB" w:rsidRPr="00E579CB" w:rsidRDefault="00E579CB" w:rsidP="00E579CB">
      <w:pPr>
        <w:widowControl w:val="0"/>
        <w:spacing w:line="280" w:lineRule="atLeast"/>
        <w:rPr>
          <w:rFonts w:cs="Arial"/>
          <w:color w:val="000000"/>
          <w:szCs w:val="21"/>
          <w:lang w:eastAsia="en-AU"/>
        </w:rPr>
      </w:pPr>
    </w:p>
    <w:p w:rsidR="00E579CB" w:rsidRPr="00E579CB" w:rsidRDefault="00E579CB" w:rsidP="00E579CB">
      <w:pPr>
        <w:widowControl w:val="0"/>
        <w:spacing w:line="280" w:lineRule="atLeast"/>
        <w:rPr>
          <w:rFonts w:cs="Arial"/>
          <w:color w:val="000000"/>
          <w:szCs w:val="21"/>
          <w:lang w:eastAsia="en-AU"/>
        </w:rPr>
      </w:pPr>
    </w:p>
    <w:p w:rsidR="00E579CB" w:rsidRPr="00E579CB" w:rsidRDefault="00E579CB" w:rsidP="00E579CB">
      <w:pPr>
        <w:widowControl w:val="0"/>
        <w:spacing w:line="280" w:lineRule="atLeast"/>
        <w:rPr>
          <w:rFonts w:cs="Arial"/>
          <w:color w:val="000000"/>
          <w:szCs w:val="21"/>
          <w:lang w:eastAsia="en-AU"/>
        </w:rPr>
      </w:pPr>
    </w:p>
    <w:p w:rsidR="00E579CB" w:rsidRPr="00E579CB" w:rsidRDefault="00E579CB" w:rsidP="00E579CB">
      <w:pPr>
        <w:widowControl w:val="0"/>
        <w:spacing w:line="280" w:lineRule="atLeast"/>
        <w:rPr>
          <w:rFonts w:cs="Arial"/>
          <w:color w:val="000000"/>
          <w:szCs w:val="21"/>
          <w:lang w:eastAsia="en-AU"/>
        </w:rPr>
      </w:pPr>
    </w:p>
    <w:p w:rsidR="00E579CB" w:rsidRPr="00E579CB" w:rsidRDefault="00E579CB" w:rsidP="00E579CB">
      <w:pPr>
        <w:widowControl w:val="0"/>
        <w:spacing w:line="280" w:lineRule="atLeast"/>
        <w:rPr>
          <w:rFonts w:cs="Arial"/>
          <w:color w:val="000000"/>
          <w:szCs w:val="21"/>
          <w:lang w:eastAsia="en-AU"/>
        </w:rPr>
      </w:pPr>
    </w:p>
    <w:p w:rsidR="00E579CB" w:rsidRPr="00E579CB" w:rsidRDefault="00E579CB" w:rsidP="00E579CB">
      <w:pPr>
        <w:widowControl w:val="0"/>
        <w:spacing w:line="280" w:lineRule="atLeast"/>
        <w:rPr>
          <w:rFonts w:cs="Arial"/>
          <w:color w:val="000000"/>
          <w:szCs w:val="21"/>
          <w:lang w:eastAsia="en-AU"/>
        </w:rPr>
      </w:pPr>
    </w:p>
    <w:p w:rsidR="00E579CB" w:rsidRPr="00E579CB" w:rsidRDefault="00E579CB" w:rsidP="00E579CB">
      <w:pPr>
        <w:widowControl w:val="0"/>
        <w:spacing w:line="280" w:lineRule="atLeast"/>
        <w:rPr>
          <w:rFonts w:cs="Arial"/>
          <w:color w:val="000000"/>
          <w:szCs w:val="21"/>
          <w:lang w:eastAsia="en-AU"/>
        </w:rPr>
      </w:pPr>
    </w:p>
    <w:p w:rsidR="00E579CB" w:rsidRPr="00E579CB" w:rsidRDefault="00E579CB" w:rsidP="00685439">
      <w:pPr>
        <w:pStyle w:val="Heading2"/>
        <w:rPr>
          <w:lang w:eastAsia="en-AU"/>
        </w:rPr>
      </w:pPr>
      <w:r w:rsidRPr="00E579CB">
        <w:rPr>
          <w:lang w:eastAsia="en-AU"/>
        </w:rPr>
        <w:lastRenderedPageBreak/>
        <w:t>N</w:t>
      </w:r>
      <w:r>
        <w:rPr>
          <w:lang w:eastAsia="en-AU"/>
        </w:rPr>
        <w:t>o</w:t>
      </w:r>
      <w:r w:rsidRPr="00E579CB">
        <w:rPr>
          <w:lang w:eastAsia="en-AU"/>
        </w:rPr>
        <w:t xml:space="preserve">tes to the Financial Statements </w:t>
      </w:r>
    </w:p>
    <w:tbl>
      <w:tblPr>
        <w:tblW w:w="9147" w:type="dxa"/>
        <w:tblInd w:w="-108" w:type="dxa"/>
        <w:tblLayout w:type="fixed"/>
        <w:tblLook w:val="0000" w:firstRow="0" w:lastRow="0" w:firstColumn="0" w:lastColumn="0" w:noHBand="0" w:noVBand="0"/>
      </w:tblPr>
      <w:tblGrid>
        <w:gridCol w:w="108"/>
        <w:gridCol w:w="2932"/>
        <w:gridCol w:w="504"/>
        <w:gridCol w:w="1604"/>
        <w:gridCol w:w="933"/>
        <w:gridCol w:w="123"/>
        <w:gridCol w:w="1309"/>
        <w:gridCol w:w="108"/>
        <w:gridCol w:w="1262"/>
        <w:gridCol w:w="264"/>
      </w:tblGrid>
      <w:tr w:rsidR="00E579CB" w:rsidRPr="00E579CB" w:rsidTr="00E579CB">
        <w:trPr>
          <w:gridBefore w:val="1"/>
          <w:wBefore w:w="108" w:type="dxa"/>
          <w:trHeight w:val="255"/>
        </w:trPr>
        <w:tc>
          <w:tcPr>
            <w:tcW w:w="5040" w:type="dxa"/>
            <w:gridSpan w:val="3"/>
            <w:vMerge w:val="restart"/>
            <w:tcBorders>
              <w:top w:val="nil"/>
              <w:left w:val="nil"/>
              <w:bottom w:val="nil"/>
              <w:right w:val="nil"/>
            </w:tcBorders>
            <w:shd w:val="clear" w:color="auto" w:fill="auto"/>
          </w:tcPr>
          <w:p w:rsidR="00E579CB" w:rsidRPr="00E579CB" w:rsidRDefault="00E579CB" w:rsidP="00E579CB">
            <w:pPr>
              <w:widowControl w:val="0"/>
              <w:spacing w:line="280" w:lineRule="atLeast"/>
              <w:rPr>
                <w:rFonts w:cs="Arial"/>
                <w:b/>
                <w:bCs/>
                <w:color w:val="000000"/>
                <w:szCs w:val="21"/>
                <w:lang w:val="en-US"/>
              </w:rPr>
            </w:pPr>
          </w:p>
        </w:tc>
        <w:tc>
          <w:tcPr>
            <w:tcW w:w="1056" w:type="dxa"/>
            <w:gridSpan w:val="2"/>
            <w:vMerge w:val="restart"/>
            <w:tcBorders>
              <w:top w:val="nil"/>
              <w:left w:val="nil"/>
              <w:bottom w:val="nil"/>
              <w:right w:val="nil"/>
            </w:tcBorders>
            <w:shd w:val="clear" w:color="auto" w:fill="auto"/>
          </w:tcPr>
          <w:p w:rsidR="00E579CB" w:rsidRPr="00E579CB" w:rsidRDefault="00E579CB" w:rsidP="00E579CB">
            <w:pPr>
              <w:spacing w:after="0" w:line="240" w:lineRule="auto"/>
              <w:jc w:val="right"/>
              <w:rPr>
                <w:rFonts w:cs="Arial"/>
                <w:b/>
                <w:bCs/>
                <w:color w:val="000000"/>
                <w:szCs w:val="21"/>
                <w:lang w:val="en-US"/>
              </w:rPr>
            </w:pPr>
          </w:p>
        </w:tc>
        <w:tc>
          <w:tcPr>
            <w:tcW w:w="1417" w:type="dxa"/>
            <w:gridSpan w:val="2"/>
            <w:tcBorders>
              <w:top w:val="nil"/>
              <w:left w:val="nil"/>
              <w:bottom w:val="nil"/>
              <w:right w:val="nil"/>
            </w:tcBorders>
          </w:tcPr>
          <w:p w:rsidR="00E579CB" w:rsidRPr="00E579CB" w:rsidRDefault="00E579CB" w:rsidP="00E579CB">
            <w:pPr>
              <w:spacing w:after="40" w:line="260" w:lineRule="atLeast"/>
              <w:jc w:val="center"/>
              <w:rPr>
                <w:rFonts w:cs="Arial"/>
                <w:b/>
                <w:bCs/>
                <w:color w:val="000000"/>
                <w:szCs w:val="21"/>
                <w:lang w:val="en-US"/>
              </w:rPr>
            </w:pPr>
            <w:r w:rsidRPr="00E579CB">
              <w:rPr>
                <w:rFonts w:cs="Arial"/>
                <w:b/>
                <w:bCs/>
                <w:color w:val="000000"/>
                <w:szCs w:val="21"/>
                <w:lang w:val="en-US"/>
              </w:rPr>
              <w:t>2019</w:t>
            </w:r>
          </w:p>
        </w:tc>
        <w:tc>
          <w:tcPr>
            <w:tcW w:w="1526" w:type="dxa"/>
            <w:gridSpan w:val="2"/>
            <w:tcBorders>
              <w:top w:val="nil"/>
              <w:left w:val="nil"/>
              <w:bottom w:val="nil"/>
              <w:right w:val="nil"/>
            </w:tcBorders>
          </w:tcPr>
          <w:p w:rsidR="00E579CB" w:rsidRPr="00E579CB" w:rsidRDefault="00E579CB" w:rsidP="00E579CB">
            <w:pPr>
              <w:spacing w:after="40" w:line="260" w:lineRule="atLeast"/>
              <w:jc w:val="center"/>
              <w:rPr>
                <w:rFonts w:cs="Arial"/>
                <w:b/>
                <w:bCs/>
                <w:color w:val="000000"/>
                <w:szCs w:val="21"/>
                <w:lang w:val="en-US"/>
              </w:rPr>
            </w:pPr>
            <w:r w:rsidRPr="00E579CB">
              <w:rPr>
                <w:rFonts w:cs="Arial"/>
                <w:b/>
                <w:bCs/>
                <w:color w:val="000000"/>
                <w:szCs w:val="21"/>
                <w:lang w:val="en-US"/>
              </w:rPr>
              <w:t>2018</w:t>
            </w:r>
          </w:p>
        </w:tc>
      </w:tr>
      <w:tr w:rsidR="00E579CB" w:rsidRPr="00E579CB" w:rsidTr="00E579CB">
        <w:trPr>
          <w:gridBefore w:val="1"/>
          <w:wBefore w:w="108" w:type="dxa"/>
          <w:trHeight w:val="255"/>
        </w:trPr>
        <w:tc>
          <w:tcPr>
            <w:tcW w:w="5040" w:type="dxa"/>
            <w:gridSpan w:val="3"/>
            <w:vMerge/>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b/>
                <w:bCs/>
                <w:color w:val="000000"/>
                <w:szCs w:val="21"/>
                <w:lang w:val="en-US"/>
              </w:rPr>
            </w:pPr>
          </w:p>
        </w:tc>
        <w:tc>
          <w:tcPr>
            <w:tcW w:w="1056" w:type="dxa"/>
            <w:gridSpan w:val="2"/>
            <w:vMerge/>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b/>
                <w:bCs/>
                <w:color w:val="000000"/>
                <w:szCs w:val="21"/>
                <w:lang w:val="en-US"/>
              </w:rPr>
            </w:pPr>
          </w:p>
        </w:tc>
        <w:tc>
          <w:tcPr>
            <w:tcW w:w="1417" w:type="dxa"/>
            <w:gridSpan w:val="2"/>
            <w:tcBorders>
              <w:top w:val="nil"/>
              <w:left w:val="nil"/>
              <w:bottom w:val="nil"/>
              <w:right w:val="nil"/>
            </w:tcBorders>
          </w:tcPr>
          <w:p w:rsidR="00E579CB" w:rsidRPr="00E579CB" w:rsidRDefault="00E579CB" w:rsidP="00E579CB">
            <w:pPr>
              <w:spacing w:after="40" w:line="260" w:lineRule="atLeast"/>
              <w:jc w:val="center"/>
              <w:rPr>
                <w:rFonts w:cs="Arial"/>
                <w:b/>
                <w:bCs/>
                <w:color w:val="000000"/>
                <w:szCs w:val="21"/>
                <w:lang w:val="en-US"/>
              </w:rPr>
            </w:pPr>
            <w:r w:rsidRPr="00E579CB">
              <w:rPr>
                <w:rFonts w:cs="Arial"/>
                <w:b/>
                <w:bCs/>
                <w:color w:val="000000"/>
                <w:szCs w:val="21"/>
                <w:lang w:val="en-US"/>
              </w:rPr>
              <w:t>$</w:t>
            </w:r>
          </w:p>
        </w:tc>
        <w:tc>
          <w:tcPr>
            <w:tcW w:w="1526" w:type="dxa"/>
            <w:gridSpan w:val="2"/>
            <w:tcBorders>
              <w:top w:val="nil"/>
              <w:left w:val="nil"/>
              <w:bottom w:val="nil"/>
              <w:right w:val="nil"/>
            </w:tcBorders>
          </w:tcPr>
          <w:p w:rsidR="00E579CB" w:rsidRPr="00E579CB" w:rsidRDefault="00E579CB" w:rsidP="00E579CB">
            <w:pPr>
              <w:spacing w:after="40" w:line="260" w:lineRule="atLeast"/>
              <w:jc w:val="center"/>
              <w:rPr>
                <w:rFonts w:cs="Arial"/>
                <w:b/>
                <w:bCs/>
                <w:color w:val="000000"/>
                <w:szCs w:val="21"/>
                <w:lang w:val="en-US"/>
              </w:rPr>
            </w:pPr>
            <w:r w:rsidRPr="00E579CB">
              <w:rPr>
                <w:rFonts w:cs="Arial"/>
                <w:b/>
                <w:bCs/>
                <w:color w:val="000000"/>
                <w:szCs w:val="21"/>
                <w:lang w:val="en-US"/>
              </w:rPr>
              <w:t>$</w:t>
            </w:r>
          </w:p>
        </w:tc>
      </w:tr>
      <w:tr w:rsidR="00E579CB" w:rsidRPr="00E579CB" w:rsidTr="00E579CB">
        <w:trPr>
          <w:gridAfter w:val="1"/>
          <w:wAfter w:w="264" w:type="dxa"/>
          <w:trHeight w:val="255"/>
        </w:trPr>
        <w:tc>
          <w:tcPr>
            <w:tcW w:w="6081" w:type="dxa"/>
            <w:gridSpan w:val="5"/>
            <w:tcBorders>
              <w:top w:val="nil"/>
              <w:left w:val="nil"/>
              <w:bottom w:val="nil"/>
              <w:right w:val="nil"/>
            </w:tcBorders>
            <w:shd w:val="clear" w:color="auto" w:fill="auto"/>
          </w:tcPr>
          <w:p w:rsidR="00E579CB" w:rsidRPr="00E579CB" w:rsidRDefault="00E579CB" w:rsidP="00E579CB">
            <w:pPr>
              <w:spacing w:after="40" w:line="260" w:lineRule="atLeast"/>
              <w:rPr>
                <w:rFonts w:cs="Arial"/>
                <w:color w:val="000000"/>
                <w:szCs w:val="21"/>
                <w:lang w:val="en-US"/>
              </w:rPr>
            </w:pPr>
            <w:r w:rsidRPr="00E579CB">
              <w:rPr>
                <w:rFonts w:cs="Arial"/>
                <w:b/>
                <w:szCs w:val="21"/>
              </w:rPr>
              <w:t>3 Current assets – Cash and cash equivalents</w:t>
            </w:r>
          </w:p>
        </w:tc>
        <w:tc>
          <w:tcPr>
            <w:tcW w:w="1432" w:type="dxa"/>
            <w:gridSpan w:val="2"/>
            <w:tcBorders>
              <w:top w:val="nil"/>
              <w:left w:val="nil"/>
              <w:right w:val="nil"/>
            </w:tcBorders>
          </w:tcPr>
          <w:p w:rsidR="00E579CB" w:rsidRPr="00E579CB" w:rsidRDefault="00E579CB" w:rsidP="00E579CB">
            <w:pPr>
              <w:spacing w:after="40" w:line="260" w:lineRule="atLeast"/>
              <w:jc w:val="right"/>
              <w:rPr>
                <w:rFonts w:cs="Arial"/>
                <w:b/>
                <w:color w:val="000000"/>
                <w:position w:val="-6"/>
                <w:szCs w:val="21"/>
                <w:lang w:val="en-US"/>
              </w:rPr>
            </w:pPr>
          </w:p>
        </w:tc>
        <w:tc>
          <w:tcPr>
            <w:tcW w:w="1370" w:type="dxa"/>
            <w:gridSpan w:val="2"/>
            <w:tcBorders>
              <w:top w:val="nil"/>
              <w:left w:val="nil"/>
              <w:right w:val="nil"/>
            </w:tcBorders>
          </w:tcPr>
          <w:p w:rsidR="00E579CB" w:rsidRPr="00E579CB" w:rsidRDefault="00E579CB" w:rsidP="00E579CB">
            <w:pPr>
              <w:spacing w:after="40" w:line="260" w:lineRule="atLeast"/>
              <w:jc w:val="right"/>
              <w:rPr>
                <w:rFonts w:cs="Arial"/>
                <w:b/>
                <w:color w:val="000000"/>
                <w:position w:val="-6"/>
                <w:szCs w:val="21"/>
                <w:lang w:val="en-US"/>
              </w:rPr>
            </w:pPr>
          </w:p>
        </w:tc>
      </w:tr>
      <w:tr w:rsidR="00E579CB" w:rsidRPr="00E579CB" w:rsidTr="00E579CB">
        <w:trPr>
          <w:gridAfter w:val="1"/>
          <w:wAfter w:w="264" w:type="dxa"/>
          <w:trHeight w:val="255"/>
        </w:trPr>
        <w:tc>
          <w:tcPr>
            <w:tcW w:w="3040" w:type="dxa"/>
            <w:gridSpan w:val="2"/>
            <w:tcBorders>
              <w:top w:val="nil"/>
              <w:left w:val="nil"/>
              <w:bottom w:val="nil"/>
              <w:right w:val="nil"/>
            </w:tcBorders>
            <w:shd w:val="clear" w:color="auto" w:fill="auto"/>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Cash at bank and on hand</w:t>
            </w:r>
          </w:p>
        </w:tc>
        <w:tc>
          <w:tcPr>
            <w:tcW w:w="3041" w:type="dxa"/>
            <w:gridSpan w:val="3"/>
            <w:tcBorders>
              <w:top w:val="nil"/>
              <w:left w:val="nil"/>
              <w:bottom w:val="nil"/>
              <w:right w:val="nil"/>
            </w:tcBorders>
            <w:shd w:val="clear" w:color="auto" w:fill="auto"/>
          </w:tcPr>
          <w:p w:rsidR="00E579CB" w:rsidRPr="00E579CB" w:rsidRDefault="00E579CB" w:rsidP="00E579CB">
            <w:pPr>
              <w:spacing w:after="40" w:line="260" w:lineRule="atLeast"/>
              <w:jc w:val="right"/>
              <w:rPr>
                <w:rFonts w:cs="Arial"/>
                <w:color w:val="000000"/>
                <w:szCs w:val="21"/>
                <w:lang w:val="en-US"/>
              </w:rPr>
            </w:pPr>
          </w:p>
        </w:tc>
        <w:tc>
          <w:tcPr>
            <w:tcW w:w="1432" w:type="dxa"/>
            <w:gridSpan w:val="2"/>
            <w:tcBorders>
              <w:left w:val="nil"/>
              <w:right w:val="nil"/>
            </w:tcBorders>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2,360,392</w:t>
            </w:r>
          </w:p>
        </w:tc>
        <w:tc>
          <w:tcPr>
            <w:tcW w:w="1370" w:type="dxa"/>
            <w:gridSpan w:val="2"/>
            <w:tcBorders>
              <w:left w:val="nil"/>
              <w:right w:val="nil"/>
            </w:tcBorders>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981,472</w:t>
            </w:r>
          </w:p>
        </w:tc>
      </w:tr>
      <w:tr w:rsidR="00E579CB" w:rsidRPr="00E579CB" w:rsidTr="00E579CB">
        <w:trPr>
          <w:gridAfter w:val="1"/>
          <w:wAfter w:w="264" w:type="dxa"/>
          <w:trHeight w:val="255"/>
        </w:trPr>
        <w:tc>
          <w:tcPr>
            <w:tcW w:w="3040" w:type="dxa"/>
            <w:gridSpan w:val="2"/>
            <w:tcBorders>
              <w:top w:val="nil"/>
              <w:left w:val="nil"/>
              <w:bottom w:val="nil"/>
              <w:right w:val="nil"/>
            </w:tcBorders>
            <w:shd w:val="clear" w:color="auto" w:fill="auto"/>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Restricted funds</w:t>
            </w:r>
          </w:p>
        </w:tc>
        <w:tc>
          <w:tcPr>
            <w:tcW w:w="3041" w:type="dxa"/>
            <w:gridSpan w:val="3"/>
            <w:tcBorders>
              <w:top w:val="nil"/>
              <w:left w:val="nil"/>
              <w:bottom w:val="nil"/>
              <w:right w:val="nil"/>
            </w:tcBorders>
            <w:shd w:val="clear" w:color="auto" w:fill="auto"/>
          </w:tcPr>
          <w:p w:rsidR="00E579CB" w:rsidRPr="00E579CB" w:rsidRDefault="00E579CB" w:rsidP="00E579CB">
            <w:pPr>
              <w:spacing w:after="40" w:line="260" w:lineRule="atLeast"/>
              <w:jc w:val="right"/>
              <w:rPr>
                <w:rFonts w:cs="Arial"/>
                <w:color w:val="000000"/>
                <w:szCs w:val="21"/>
                <w:lang w:val="en-US"/>
              </w:rPr>
            </w:pPr>
          </w:p>
        </w:tc>
        <w:tc>
          <w:tcPr>
            <w:tcW w:w="1432" w:type="dxa"/>
            <w:gridSpan w:val="2"/>
            <w:tcBorders>
              <w:left w:val="nil"/>
              <w:bottom w:val="single" w:sz="4" w:space="0" w:color="auto"/>
              <w:right w:val="nil"/>
            </w:tcBorders>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902,478</w:t>
            </w:r>
          </w:p>
        </w:tc>
        <w:tc>
          <w:tcPr>
            <w:tcW w:w="1370" w:type="dxa"/>
            <w:gridSpan w:val="2"/>
            <w:tcBorders>
              <w:left w:val="nil"/>
              <w:bottom w:val="single" w:sz="4" w:space="0" w:color="auto"/>
              <w:right w:val="nil"/>
            </w:tcBorders>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1,000,000</w:t>
            </w:r>
          </w:p>
        </w:tc>
      </w:tr>
      <w:tr w:rsidR="00E579CB" w:rsidRPr="00E579CB" w:rsidTr="00E579CB">
        <w:trPr>
          <w:gridAfter w:val="1"/>
          <w:wAfter w:w="264" w:type="dxa"/>
          <w:trHeight w:val="255"/>
        </w:trPr>
        <w:tc>
          <w:tcPr>
            <w:tcW w:w="6081" w:type="dxa"/>
            <w:gridSpan w:val="5"/>
            <w:tcBorders>
              <w:top w:val="nil"/>
              <w:left w:val="nil"/>
              <w:bottom w:val="nil"/>
              <w:right w:val="nil"/>
            </w:tcBorders>
            <w:shd w:val="clear" w:color="auto" w:fill="auto"/>
          </w:tcPr>
          <w:p w:rsidR="00E579CB" w:rsidRPr="00E579CB" w:rsidRDefault="00E579CB" w:rsidP="00E579CB">
            <w:pPr>
              <w:spacing w:after="40" w:line="260" w:lineRule="atLeast"/>
              <w:rPr>
                <w:rFonts w:cs="Arial"/>
                <w:color w:val="000000"/>
                <w:szCs w:val="21"/>
                <w:lang w:val="en-US"/>
              </w:rPr>
            </w:pPr>
          </w:p>
        </w:tc>
        <w:tc>
          <w:tcPr>
            <w:tcW w:w="1432" w:type="dxa"/>
            <w:gridSpan w:val="2"/>
            <w:tcBorders>
              <w:top w:val="single" w:sz="4" w:space="0" w:color="auto"/>
              <w:left w:val="nil"/>
              <w:bottom w:val="single" w:sz="4" w:space="0" w:color="auto"/>
              <w:right w:val="nil"/>
            </w:tcBorders>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3,262,870</w:t>
            </w:r>
          </w:p>
        </w:tc>
        <w:tc>
          <w:tcPr>
            <w:tcW w:w="1370" w:type="dxa"/>
            <w:gridSpan w:val="2"/>
            <w:tcBorders>
              <w:top w:val="single" w:sz="4" w:space="0" w:color="auto"/>
              <w:left w:val="nil"/>
              <w:bottom w:val="single" w:sz="4" w:space="0" w:color="auto"/>
              <w:right w:val="nil"/>
            </w:tcBorders>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1,981,472</w:t>
            </w:r>
          </w:p>
        </w:tc>
      </w:tr>
      <w:tr w:rsidR="00E579CB" w:rsidRPr="00E579CB" w:rsidTr="00E579CB">
        <w:trPr>
          <w:gridAfter w:val="1"/>
          <w:wAfter w:w="264" w:type="dxa"/>
          <w:trHeight w:val="255"/>
        </w:trPr>
        <w:tc>
          <w:tcPr>
            <w:tcW w:w="6081" w:type="dxa"/>
            <w:gridSpan w:val="5"/>
            <w:tcBorders>
              <w:top w:val="nil"/>
              <w:left w:val="nil"/>
              <w:bottom w:val="nil"/>
              <w:right w:val="nil"/>
            </w:tcBorders>
            <w:shd w:val="clear" w:color="auto" w:fill="auto"/>
          </w:tcPr>
          <w:p w:rsidR="00E579CB" w:rsidRPr="00E579CB" w:rsidRDefault="00E579CB" w:rsidP="00E579CB">
            <w:pPr>
              <w:pStyle w:val="Heading-Note"/>
              <w:tabs>
                <w:tab w:val="left" w:pos="566"/>
              </w:tabs>
              <w:spacing w:before="0" w:after="40" w:line="260" w:lineRule="atLeast"/>
              <w:rPr>
                <w:rFonts w:ascii="Helvetica Neue" w:hAnsi="Helvetica Neue" w:cs="Arial"/>
                <w:sz w:val="21"/>
                <w:szCs w:val="21"/>
              </w:rPr>
            </w:pPr>
          </w:p>
        </w:tc>
        <w:tc>
          <w:tcPr>
            <w:tcW w:w="1432" w:type="dxa"/>
            <w:gridSpan w:val="2"/>
            <w:tcBorders>
              <w:top w:val="nil"/>
              <w:left w:val="nil"/>
              <w:bottom w:val="nil"/>
              <w:right w:val="nil"/>
            </w:tcBorders>
          </w:tcPr>
          <w:p w:rsidR="00E579CB" w:rsidRPr="00E579CB" w:rsidRDefault="00E579CB" w:rsidP="00E579CB">
            <w:pPr>
              <w:pStyle w:val="Heading-Note"/>
              <w:tabs>
                <w:tab w:val="left" w:pos="566"/>
              </w:tabs>
              <w:spacing w:before="0" w:after="40" w:line="260" w:lineRule="atLeast"/>
              <w:rPr>
                <w:rFonts w:ascii="Helvetica Neue" w:hAnsi="Helvetica Neue" w:cs="Arial"/>
                <w:sz w:val="21"/>
                <w:szCs w:val="21"/>
              </w:rPr>
            </w:pPr>
          </w:p>
        </w:tc>
        <w:tc>
          <w:tcPr>
            <w:tcW w:w="1370" w:type="dxa"/>
            <w:gridSpan w:val="2"/>
            <w:tcBorders>
              <w:top w:val="nil"/>
              <w:left w:val="nil"/>
              <w:bottom w:val="nil"/>
              <w:right w:val="nil"/>
            </w:tcBorders>
          </w:tcPr>
          <w:p w:rsidR="00E579CB" w:rsidRPr="00E579CB" w:rsidRDefault="00E579CB" w:rsidP="00E579CB">
            <w:pPr>
              <w:pStyle w:val="Heading-Note"/>
              <w:tabs>
                <w:tab w:val="left" w:pos="566"/>
              </w:tabs>
              <w:spacing w:before="0" w:after="40" w:line="260" w:lineRule="atLeast"/>
              <w:rPr>
                <w:rFonts w:ascii="Helvetica Neue" w:hAnsi="Helvetica Neue" w:cs="Arial"/>
                <w:sz w:val="21"/>
                <w:szCs w:val="21"/>
              </w:rPr>
            </w:pPr>
          </w:p>
        </w:tc>
      </w:tr>
      <w:tr w:rsidR="00E579CB" w:rsidRPr="00E579CB" w:rsidTr="00E579CB">
        <w:trPr>
          <w:gridAfter w:val="1"/>
          <w:wAfter w:w="264" w:type="dxa"/>
          <w:trHeight w:val="255"/>
        </w:trPr>
        <w:tc>
          <w:tcPr>
            <w:tcW w:w="6081" w:type="dxa"/>
            <w:gridSpan w:val="5"/>
            <w:tcBorders>
              <w:top w:val="nil"/>
              <w:left w:val="nil"/>
              <w:bottom w:val="nil"/>
              <w:right w:val="nil"/>
            </w:tcBorders>
            <w:shd w:val="clear" w:color="auto" w:fill="auto"/>
          </w:tcPr>
          <w:p w:rsidR="00E579CB" w:rsidRPr="00E579CB" w:rsidRDefault="00E579CB" w:rsidP="00E579CB">
            <w:pPr>
              <w:pStyle w:val="Heading-Note"/>
              <w:tabs>
                <w:tab w:val="left" w:pos="566"/>
              </w:tabs>
              <w:spacing w:before="0" w:after="40" w:line="260" w:lineRule="atLeast"/>
              <w:rPr>
                <w:rFonts w:ascii="Helvetica Neue" w:hAnsi="Helvetica Neue" w:cs="Arial"/>
                <w:sz w:val="21"/>
                <w:szCs w:val="21"/>
              </w:rPr>
            </w:pPr>
            <w:r w:rsidRPr="00E579CB">
              <w:rPr>
                <w:rFonts w:ascii="Helvetica Neue" w:hAnsi="Helvetica Neue" w:cs="Arial"/>
                <w:sz w:val="21"/>
                <w:szCs w:val="21"/>
              </w:rPr>
              <w:t>4 Current assets – Receivables</w:t>
            </w:r>
          </w:p>
        </w:tc>
        <w:tc>
          <w:tcPr>
            <w:tcW w:w="1432" w:type="dxa"/>
            <w:gridSpan w:val="2"/>
            <w:tcBorders>
              <w:top w:val="nil"/>
              <w:left w:val="nil"/>
              <w:bottom w:val="nil"/>
              <w:right w:val="nil"/>
            </w:tcBorders>
          </w:tcPr>
          <w:p w:rsidR="00E579CB" w:rsidRPr="00E579CB" w:rsidRDefault="00E579CB" w:rsidP="00E579CB">
            <w:pPr>
              <w:pStyle w:val="Heading-Note"/>
              <w:tabs>
                <w:tab w:val="left" w:pos="566"/>
              </w:tabs>
              <w:spacing w:before="0" w:after="40" w:line="260" w:lineRule="atLeast"/>
              <w:rPr>
                <w:rFonts w:ascii="Helvetica Neue" w:hAnsi="Helvetica Neue" w:cs="Arial"/>
                <w:sz w:val="21"/>
                <w:szCs w:val="21"/>
              </w:rPr>
            </w:pPr>
          </w:p>
        </w:tc>
        <w:tc>
          <w:tcPr>
            <w:tcW w:w="1370" w:type="dxa"/>
            <w:gridSpan w:val="2"/>
            <w:tcBorders>
              <w:top w:val="nil"/>
              <w:left w:val="nil"/>
              <w:bottom w:val="nil"/>
              <w:right w:val="nil"/>
            </w:tcBorders>
          </w:tcPr>
          <w:p w:rsidR="00E579CB" w:rsidRPr="00E579CB" w:rsidRDefault="00E579CB" w:rsidP="00E579CB">
            <w:pPr>
              <w:pStyle w:val="Heading-Note"/>
              <w:tabs>
                <w:tab w:val="left" w:pos="566"/>
              </w:tabs>
              <w:spacing w:before="0" w:after="40" w:line="260" w:lineRule="atLeast"/>
              <w:rPr>
                <w:rFonts w:ascii="Helvetica Neue" w:hAnsi="Helvetica Neue" w:cs="Arial"/>
                <w:sz w:val="21"/>
                <w:szCs w:val="21"/>
              </w:rPr>
            </w:pPr>
          </w:p>
        </w:tc>
      </w:tr>
      <w:tr w:rsidR="00E579CB" w:rsidRPr="00E579CB" w:rsidTr="00E579CB">
        <w:trPr>
          <w:gridAfter w:val="1"/>
          <w:wAfter w:w="264" w:type="dxa"/>
          <w:trHeight w:val="255"/>
        </w:trPr>
        <w:tc>
          <w:tcPr>
            <w:tcW w:w="6081" w:type="dxa"/>
            <w:gridSpan w:val="5"/>
            <w:tcBorders>
              <w:top w:val="nil"/>
              <w:left w:val="nil"/>
              <w:bottom w:val="nil"/>
              <w:right w:val="nil"/>
            </w:tcBorders>
            <w:shd w:val="clear" w:color="auto" w:fill="auto"/>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Debtors</w:t>
            </w:r>
          </w:p>
        </w:tc>
        <w:tc>
          <w:tcPr>
            <w:tcW w:w="1432" w:type="dxa"/>
            <w:gridSpan w:val="2"/>
            <w:tcBorders>
              <w:top w:val="nil"/>
              <w:left w:val="nil"/>
              <w:bottom w:val="nil"/>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132,566</w:t>
            </w:r>
          </w:p>
        </w:tc>
        <w:tc>
          <w:tcPr>
            <w:tcW w:w="1370" w:type="dxa"/>
            <w:gridSpan w:val="2"/>
            <w:tcBorders>
              <w:top w:val="nil"/>
              <w:left w:val="nil"/>
              <w:bottom w:val="nil"/>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704,722</w:t>
            </w:r>
          </w:p>
        </w:tc>
      </w:tr>
      <w:tr w:rsidR="00E579CB" w:rsidRPr="00E579CB" w:rsidTr="00E579CB">
        <w:trPr>
          <w:gridAfter w:val="1"/>
          <w:wAfter w:w="264" w:type="dxa"/>
          <w:trHeight w:val="255"/>
        </w:trPr>
        <w:tc>
          <w:tcPr>
            <w:tcW w:w="6081" w:type="dxa"/>
            <w:gridSpan w:val="5"/>
            <w:tcBorders>
              <w:top w:val="nil"/>
              <w:left w:val="nil"/>
              <w:bottom w:val="nil"/>
              <w:right w:val="nil"/>
            </w:tcBorders>
            <w:shd w:val="clear" w:color="auto" w:fill="auto"/>
          </w:tcPr>
          <w:p w:rsidR="00E579CB" w:rsidRPr="00E579CB" w:rsidRDefault="00E579CB" w:rsidP="00E579CB">
            <w:pPr>
              <w:spacing w:after="40" w:line="260" w:lineRule="atLeast"/>
              <w:rPr>
                <w:rFonts w:cs="Arial"/>
                <w:color w:val="000000"/>
                <w:szCs w:val="21"/>
                <w:lang w:val="en-US"/>
              </w:rPr>
            </w:pPr>
            <w:r w:rsidRPr="00E579CB">
              <w:rPr>
                <w:rFonts w:cs="Arial"/>
                <w:bCs/>
                <w:szCs w:val="21"/>
                <w:lang w:val="en-US"/>
              </w:rPr>
              <w:t>Accrued Revenue</w:t>
            </w:r>
          </w:p>
        </w:tc>
        <w:tc>
          <w:tcPr>
            <w:tcW w:w="1432" w:type="dxa"/>
            <w:gridSpan w:val="2"/>
            <w:tcBorders>
              <w:top w:val="nil"/>
              <w:left w:val="nil"/>
              <w:bottom w:val="nil"/>
              <w:right w:val="nil"/>
            </w:tcBorders>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position w:val="-6"/>
                <w:szCs w:val="21"/>
                <w:lang w:val="en-US"/>
              </w:rPr>
              <w:t>222,220</w:t>
            </w:r>
          </w:p>
        </w:tc>
        <w:tc>
          <w:tcPr>
            <w:tcW w:w="1370" w:type="dxa"/>
            <w:gridSpan w:val="2"/>
            <w:tcBorders>
              <w:top w:val="nil"/>
              <w:left w:val="nil"/>
              <w:bottom w:val="nil"/>
              <w:right w:val="nil"/>
            </w:tcBorders>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position w:val="-6"/>
                <w:szCs w:val="21"/>
                <w:lang w:val="en-US"/>
              </w:rPr>
              <w:t>-</w:t>
            </w:r>
          </w:p>
        </w:tc>
      </w:tr>
      <w:tr w:rsidR="00E579CB" w:rsidRPr="00E579CB" w:rsidTr="00E579CB">
        <w:trPr>
          <w:gridAfter w:val="1"/>
          <w:wAfter w:w="264" w:type="dxa"/>
          <w:trHeight w:val="255"/>
        </w:trPr>
        <w:tc>
          <w:tcPr>
            <w:tcW w:w="3544" w:type="dxa"/>
            <w:gridSpan w:val="3"/>
            <w:tcBorders>
              <w:top w:val="nil"/>
              <w:left w:val="nil"/>
              <w:bottom w:val="nil"/>
              <w:right w:val="nil"/>
            </w:tcBorders>
            <w:shd w:val="clear" w:color="auto" w:fill="auto"/>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 xml:space="preserve">Summer Housing Ltd Loan </w:t>
            </w:r>
          </w:p>
        </w:tc>
        <w:tc>
          <w:tcPr>
            <w:tcW w:w="2537" w:type="dxa"/>
            <w:gridSpan w:val="2"/>
            <w:tcBorders>
              <w:top w:val="nil"/>
              <w:left w:val="nil"/>
              <w:bottom w:val="nil"/>
              <w:right w:val="nil"/>
            </w:tcBorders>
            <w:shd w:val="clear" w:color="auto" w:fill="auto"/>
          </w:tcPr>
          <w:p w:rsidR="00E579CB" w:rsidRPr="00E579CB" w:rsidRDefault="00E579CB" w:rsidP="00E579CB">
            <w:pPr>
              <w:spacing w:after="40" w:line="260" w:lineRule="atLeast"/>
              <w:jc w:val="right"/>
              <w:rPr>
                <w:rFonts w:cs="Arial"/>
                <w:color w:val="000000"/>
                <w:szCs w:val="21"/>
                <w:lang w:val="en-US"/>
              </w:rPr>
            </w:pPr>
          </w:p>
        </w:tc>
        <w:tc>
          <w:tcPr>
            <w:tcW w:w="1432" w:type="dxa"/>
            <w:gridSpan w:val="2"/>
            <w:tcBorders>
              <w:top w:val="nil"/>
              <w:left w:val="nil"/>
              <w:bottom w:val="nil"/>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w:t>
            </w:r>
          </w:p>
        </w:tc>
        <w:tc>
          <w:tcPr>
            <w:tcW w:w="1370" w:type="dxa"/>
            <w:gridSpan w:val="2"/>
            <w:tcBorders>
              <w:top w:val="nil"/>
              <w:left w:val="nil"/>
              <w:bottom w:val="nil"/>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200,000</w:t>
            </w:r>
          </w:p>
        </w:tc>
      </w:tr>
      <w:tr w:rsidR="00E579CB" w:rsidRPr="00E579CB" w:rsidTr="00E579CB">
        <w:trPr>
          <w:gridAfter w:val="1"/>
          <w:wAfter w:w="264" w:type="dxa"/>
          <w:trHeight w:val="255"/>
        </w:trPr>
        <w:tc>
          <w:tcPr>
            <w:tcW w:w="6081" w:type="dxa"/>
            <w:gridSpan w:val="5"/>
            <w:tcBorders>
              <w:top w:val="nil"/>
              <w:left w:val="nil"/>
              <w:bottom w:val="nil"/>
              <w:right w:val="nil"/>
            </w:tcBorders>
            <w:shd w:val="clear" w:color="auto" w:fill="auto"/>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GST Receivable</w:t>
            </w:r>
          </w:p>
        </w:tc>
        <w:tc>
          <w:tcPr>
            <w:tcW w:w="1432" w:type="dxa"/>
            <w:gridSpan w:val="2"/>
            <w:tcBorders>
              <w:top w:val="nil"/>
              <w:left w:val="nil"/>
              <w:bottom w:val="single" w:sz="4" w:space="0" w:color="auto"/>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w:t>
            </w:r>
          </w:p>
        </w:tc>
        <w:tc>
          <w:tcPr>
            <w:tcW w:w="1370" w:type="dxa"/>
            <w:gridSpan w:val="2"/>
            <w:tcBorders>
              <w:top w:val="nil"/>
              <w:left w:val="nil"/>
              <w:bottom w:val="single" w:sz="4" w:space="0" w:color="auto"/>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10,269</w:t>
            </w:r>
          </w:p>
        </w:tc>
      </w:tr>
      <w:tr w:rsidR="00E579CB" w:rsidRPr="00E579CB" w:rsidTr="00E579CB">
        <w:trPr>
          <w:gridAfter w:val="1"/>
          <w:wAfter w:w="264" w:type="dxa"/>
          <w:trHeight w:val="255"/>
        </w:trPr>
        <w:tc>
          <w:tcPr>
            <w:tcW w:w="6081" w:type="dxa"/>
            <w:gridSpan w:val="5"/>
            <w:tcBorders>
              <w:top w:val="nil"/>
              <w:left w:val="nil"/>
              <w:bottom w:val="nil"/>
              <w:right w:val="nil"/>
            </w:tcBorders>
            <w:shd w:val="clear" w:color="auto" w:fill="auto"/>
          </w:tcPr>
          <w:p w:rsidR="00E579CB" w:rsidRPr="00E579CB" w:rsidRDefault="00E579CB" w:rsidP="00E579CB">
            <w:pPr>
              <w:spacing w:after="40" w:line="260" w:lineRule="atLeast"/>
              <w:rPr>
                <w:rFonts w:cs="Arial"/>
                <w:color w:val="000000"/>
                <w:szCs w:val="21"/>
                <w:lang w:val="en-US"/>
              </w:rPr>
            </w:pPr>
          </w:p>
        </w:tc>
        <w:tc>
          <w:tcPr>
            <w:tcW w:w="1432" w:type="dxa"/>
            <w:gridSpan w:val="2"/>
            <w:tcBorders>
              <w:top w:val="single" w:sz="4" w:space="0" w:color="auto"/>
              <w:left w:val="nil"/>
              <w:bottom w:val="single" w:sz="4" w:space="0" w:color="auto"/>
              <w:right w:val="nil"/>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354,786</w:t>
            </w:r>
          </w:p>
        </w:tc>
        <w:tc>
          <w:tcPr>
            <w:tcW w:w="1370" w:type="dxa"/>
            <w:gridSpan w:val="2"/>
            <w:tcBorders>
              <w:top w:val="single" w:sz="4" w:space="0" w:color="auto"/>
              <w:left w:val="nil"/>
              <w:bottom w:val="single" w:sz="4" w:space="0" w:color="auto"/>
              <w:right w:val="nil"/>
            </w:tcBorders>
            <w:vAlign w:val="bottom"/>
          </w:tcPr>
          <w:p w:rsidR="00E579CB" w:rsidRPr="00E579CB" w:rsidRDefault="00E579CB" w:rsidP="00E579CB">
            <w:pPr>
              <w:spacing w:after="0"/>
              <w:jc w:val="right"/>
              <w:rPr>
                <w:rFonts w:cs="Arial"/>
                <w:szCs w:val="21"/>
                <w:lang w:val="en-US"/>
              </w:rPr>
            </w:pPr>
            <w:r w:rsidRPr="00E579CB">
              <w:rPr>
                <w:rFonts w:cs="Arial"/>
                <w:szCs w:val="21"/>
                <w:lang w:val="en-US"/>
              </w:rPr>
              <w:t>914,991</w:t>
            </w:r>
          </w:p>
        </w:tc>
      </w:tr>
      <w:tr w:rsidR="00E579CB" w:rsidRPr="00E579CB" w:rsidTr="00E579CB">
        <w:trPr>
          <w:gridAfter w:val="1"/>
          <w:wAfter w:w="264" w:type="dxa"/>
          <w:trHeight w:val="255"/>
        </w:trPr>
        <w:tc>
          <w:tcPr>
            <w:tcW w:w="6081" w:type="dxa"/>
            <w:gridSpan w:val="5"/>
            <w:tcBorders>
              <w:top w:val="nil"/>
              <w:left w:val="nil"/>
              <w:bottom w:val="nil"/>
              <w:right w:val="nil"/>
            </w:tcBorders>
            <w:shd w:val="clear" w:color="auto" w:fill="auto"/>
          </w:tcPr>
          <w:p w:rsidR="00E579CB" w:rsidRPr="00E579CB" w:rsidRDefault="00E579CB" w:rsidP="00E579CB">
            <w:pPr>
              <w:spacing w:after="40" w:line="260" w:lineRule="atLeast"/>
              <w:rPr>
                <w:rFonts w:cs="Arial"/>
                <w:color w:val="000000"/>
                <w:szCs w:val="21"/>
                <w:lang w:val="en-US"/>
              </w:rPr>
            </w:pPr>
          </w:p>
        </w:tc>
        <w:tc>
          <w:tcPr>
            <w:tcW w:w="1432" w:type="dxa"/>
            <w:gridSpan w:val="2"/>
            <w:tcBorders>
              <w:top w:val="single" w:sz="4" w:space="0" w:color="auto"/>
              <w:left w:val="nil"/>
              <w:bottom w:val="nil"/>
              <w:right w:val="nil"/>
            </w:tcBorders>
          </w:tcPr>
          <w:p w:rsidR="00E579CB" w:rsidRPr="00E579CB" w:rsidRDefault="00E579CB" w:rsidP="00E579CB">
            <w:pPr>
              <w:spacing w:after="40" w:line="260" w:lineRule="atLeast"/>
              <w:jc w:val="center"/>
              <w:rPr>
                <w:rFonts w:cs="Arial"/>
                <w:b/>
                <w:bCs/>
                <w:color w:val="000000"/>
                <w:szCs w:val="21"/>
                <w:lang w:val="en-US"/>
              </w:rPr>
            </w:pPr>
          </w:p>
        </w:tc>
        <w:tc>
          <w:tcPr>
            <w:tcW w:w="1370" w:type="dxa"/>
            <w:gridSpan w:val="2"/>
            <w:tcBorders>
              <w:top w:val="single" w:sz="4" w:space="0" w:color="auto"/>
              <w:left w:val="nil"/>
              <w:bottom w:val="nil"/>
              <w:right w:val="nil"/>
            </w:tcBorders>
          </w:tcPr>
          <w:p w:rsidR="00E579CB" w:rsidRPr="00E579CB" w:rsidRDefault="00E579CB" w:rsidP="00E579CB">
            <w:pPr>
              <w:spacing w:after="40" w:line="260" w:lineRule="atLeast"/>
              <w:jc w:val="center"/>
              <w:rPr>
                <w:rFonts w:cs="Arial"/>
                <w:b/>
                <w:bCs/>
                <w:color w:val="000000"/>
                <w:szCs w:val="21"/>
                <w:lang w:val="en-US"/>
              </w:rPr>
            </w:pPr>
          </w:p>
        </w:tc>
      </w:tr>
      <w:tr w:rsidR="00E579CB" w:rsidRPr="00E579CB" w:rsidTr="00E579CB">
        <w:trPr>
          <w:gridAfter w:val="1"/>
          <w:wAfter w:w="264" w:type="dxa"/>
          <w:trHeight w:val="255"/>
        </w:trPr>
        <w:tc>
          <w:tcPr>
            <w:tcW w:w="6081" w:type="dxa"/>
            <w:gridSpan w:val="5"/>
            <w:tcBorders>
              <w:top w:val="nil"/>
              <w:left w:val="nil"/>
              <w:bottom w:val="nil"/>
              <w:right w:val="nil"/>
            </w:tcBorders>
            <w:shd w:val="clear" w:color="auto" w:fill="auto"/>
          </w:tcPr>
          <w:p w:rsidR="00E579CB" w:rsidRPr="00E579CB" w:rsidRDefault="00E579CB" w:rsidP="00E579CB">
            <w:pPr>
              <w:pStyle w:val="Heading-Note"/>
              <w:tabs>
                <w:tab w:val="left" w:pos="566"/>
              </w:tabs>
              <w:spacing w:before="0" w:after="40" w:line="260" w:lineRule="atLeast"/>
              <w:rPr>
                <w:rFonts w:ascii="Helvetica Neue" w:hAnsi="Helvetica Neue" w:cs="Arial"/>
                <w:sz w:val="21"/>
                <w:szCs w:val="21"/>
              </w:rPr>
            </w:pPr>
            <w:r w:rsidRPr="00E579CB">
              <w:rPr>
                <w:rFonts w:ascii="Helvetica Neue" w:hAnsi="Helvetica Neue" w:cs="Arial"/>
                <w:sz w:val="21"/>
                <w:szCs w:val="21"/>
              </w:rPr>
              <w:t>5 Current assets – Other Assets</w:t>
            </w:r>
          </w:p>
        </w:tc>
        <w:tc>
          <w:tcPr>
            <w:tcW w:w="1432" w:type="dxa"/>
            <w:gridSpan w:val="2"/>
            <w:tcBorders>
              <w:top w:val="nil"/>
              <w:left w:val="nil"/>
              <w:bottom w:val="nil"/>
              <w:right w:val="nil"/>
            </w:tcBorders>
          </w:tcPr>
          <w:p w:rsidR="00E579CB" w:rsidRPr="00E579CB" w:rsidRDefault="00E579CB" w:rsidP="00E579CB">
            <w:pPr>
              <w:pStyle w:val="Heading-Note"/>
              <w:tabs>
                <w:tab w:val="left" w:pos="566"/>
              </w:tabs>
              <w:spacing w:before="0" w:after="40" w:line="260" w:lineRule="atLeast"/>
              <w:rPr>
                <w:rFonts w:ascii="Helvetica Neue" w:hAnsi="Helvetica Neue" w:cs="Arial"/>
                <w:sz w:val="21"/>
                <w:szCs w:val="21"/>
              </w:rPr>
            </w:pPr>
          </w:p>
        </w:tc>
        <w:tc>
          <w:tcPr>
            <w:tcW w:w="1370" w:type="dxa"/>
            <w:gridSpan w:val="2"/>
            <w:tcBorders>
              <w:top w:val="nil"/>
              <w:left w:val="nil"/>
              <w:bottom w:val="nil"/>
              <w:right w:val="nil"/>
            </w:tcBorders>
          </w:tcPr>
          <w:p w:rsidR="00E579CB" w:rsidRPr="00E579CB" w:rsidRDefault="00E579CB" w:rsidP="00E579CB">
            <w:pPr>
              <w:pStyle w:val="Heading-Note"/>
              <w:tabs>
                <w:tab w:val="left" w:pos="566"/>
              </w:tabs>
              <w:spacing w:before="0" w:after="40" w:line="260" w:lineRule="atLeast"/>
              <w:rPr>
                <w:rFonts w:ascii="Helvetica Neue" w:hAnsi="Helvetica Neue" w:cs="Arial"/>
                <w:sz w:val="21"/>
                <w:szCs w:val="21"/>
              </w:rPr>
            </w:pPr>
          </w:p>
        </w:tc>
      </w:tr>
      <w:tr w:rsidR="00E579CB" w:rsidRPr="00E579CB" w:rsidTr="00E579CB">
        <w:trPr>
          <w:gridAfter w:val="1"/>
          <w:wAfter w:w="264" w:type="dxa"/>
          <w:trHeight w:val="255"/>
        </w:trPr>
        <w:tc>
          <w:tcPr>
            <w:tcW w:w="6081" w:type="dxa"/>
            <w:gridSpan w:val="5"/>
            <w:tcBorders>
              <w:top w:val="nil"/>
              <w:left w:val="nil"/>
              <w:bottom w:val="nil"/>
              <w:right w:val="nil"/>
            </w:tcBorders>
            <w:shd w:val="clear" w:color="auto" w:fill="auto"/>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Prepayments</w:t>
            </w:r>
          </w:p>
        </w:tc>
        <w:tc>
          <w:tcPr>
            <w:tcW w:w="1432" w:type="dxa"/>
            <w:gridSpan w:val="2"/>
            <w:tcBorders>
              <w:top w:val="nil"/>
              <w:left w:val="nil"/>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31,644</w:t>
            </w:r>
          </w:p>
        </w:tc>
        <w:tc>
          <w:tcPr>
            <w:tcW w:w="1370" w:type="dxa"/>
            <w:gridSpan w:val="2"/>
            <w:tcBorders>
              <w:top w:val="nil"/>
              <w:left w:val="nil"/>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20,419</w:t>
            </w:r>
          </w:p>
        </w:tc>
      </w:tr>
      <w:tr w:rsidR="00E579CB" w:rsidRPr="00E579CB" w:rsidTr="00E579CB">
        <w:trPr>
          <w:gridAfter w:val="1"/>
          <w:wAfter w:w="264" w:type="dxa"/>
          <w:trHeight w:val="255"/>
        </w:trPr>
        <w:tc>
          <w:tcPr>
            <w:tcW w:w="6081" w:type="dxa"/>
            <w:gridSpan w:val="5"/>
            <w:tcBorders>
              <w:top w:val="nil"/>
              <w:left w:val="nil"/>
              <w:bottom w:val="nil"/>
              <w:right w:val="nil"/>
            </w:tcBorders>
            <w:shd w:val="clear" w:color="auto" w:fill="auto"/>
          </w:tcPr>
          <w:p w:rsidR="00E579CB" w:rsidRPr="00E579CB" w:rsidRDefault="00E579CB" w:rsidP="00E579CB">
            <w:pPr>
              <w:spacing w:after="40" w:line="260" w:lineRule="atLeast"/>
              <w:rPr>
                <w:rFonts w:cs="Arial"/>
                <w:color w:val="000000"/>
                <w:szCs w:val="21"/>
                <w:lang w:val="en-US"/>
              </w:rPr>
            </w:pPr>
          </w:p>
        </w:tc>
        <w:tc>
          <w:tcPr>
            <w:tcW w:w="1432" w:type="dxa"/>
            <w:gridSpan w:val="2"/>
            <w:tcBorders>
              <w:top w:val="single" w:sz="4" w:space="0" w:color="auto"/>
              <w:left w:val="nil"/>
              <w:bottom w:val="single" w:sz="4" w:space="0" w:color="auto"/>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31,644</w:t>
            </w:r>
          </w:p>
        </w:tc>
        <w:tc>
          <w:tcPr>
            <w:tcW w:w="1370" w:type="dxa"/>
            <w:gridSpan w:val="2"/>
            <w:tcBorders>
              <w:top w:val="single" w:sz="4" w:space="0" w:color="auto"/>
              <w:left w:val="nil"/>
              <w:bottom w:val="single" w:sz="4" w:space="0" w:color="auto"/>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20,419</w:t>
            </w:r>
          </w:p>
        </w:tc>
      </w:tr>
    </w:tbl>
    <w:tbl>
      <w:tblPr>
        <w:tblpPr w:leftFromText="180" w:rightFromText="180" w:vertAnchor="text" w:horzAnchor="margin" w:tblpY="2"/>
        <w:tblW w:w="8931" w:type="dxa"/>
        <w:tblLayout w:type="fixed"/>
        <w:tblCellMar>
          <w:left w:w="0" w:type="dxa"/>
          <w:right w:w="0" w:type="dxa"/>
        </w:tblCellMar>
        <w:tblLook w:val="0000" w:firstRow="0" w:lastRow="0" w:firstColumn="0" w:lastColumn="0" w:noHBand="0" w:noVBand="0"/>
      </w:tblPr>
      <w:tblGrid>
        <w:gridCol w:w="6047"/>
        <w:gridCol w:w="1587"/>
        <w:gridCol w:w="1297"/>
      </w:tblGrid>
      <w:tr w:rsidR="00E579CB" w:rsidRPr="00E579CB" w:rsidTr="00E579CB">
        <w:tc>
          <w:tcPr>
            <w:tcW w:w="8931" w:type="dxa"/>
            <w:gridSpan w:val="3"/>
            <w:tcBorders>
              <w:top w:val="nil"/>
              <w:left w:val="nil"/>
              <w:bottom w:val="nil"/>
              <w:right w:val="nil"/>
            </w:tcBorders>
          </w:tcPr>
          <w:p w:rsidR="00E579CB" w:rsidRPr="00E579CB" w:rsidRDefault="00E579CB" w:rsidP="00E579CB">
            <w:pPr>
              <w:pStyle w:val="Heading-Note"/>
              <w:tabs>
                <w:tab w:val="left" w:pos="566"/>
              </w:tabs>
              <w:spacing w:before="0" w:after="40" w:line="260" w:lineRule="atLeast"/>
              <w:rPr>
                <w:rFonts w:ascii="Helvetica Neue" w:hAnsi="Helvetica Neue" w:cs="Arial"/>
                <w:sz w:val="21"/>
                <w:szCs w:val="21"/>
              </w:rPr>
            </w:pPr>
          </w:p>
          <w:p w:rsidR="00E579CB" w:rsidRPr="00E579CB" w:rsidRDefault="00E579CB" w:rsidP="00E579CB">
            <w:pPr>
              <w:pStyle w:val="Heading-Note"/>
              <w:tabs>
                <w:tab w:val="left" w:pos="566"/>
              </w:tabs>
              <w:spacing w:before="0" w:after="40" w:line="260" w:lineRule="atLeast"/>
              <w:rPr>
                <w:rFonts w:ascii="Helvetica Neue" w:hAnsi="Helvetica Neue" w:cs="Arial"/>
                <w:sz w:val="21"/>
                <w:szCs w:val="21"/>
              </w:rPr>
            </w:pPr>
            <w:r w:rsidRPr="00E579CB">
              <w:rPr>
                <w:rFonts w:ascii="Helvetica Neue" w:hAnsi="Helvetica Neue" w:cs="Arial"/>
                <w:sz w:val="21"/>
                <w:szCs w:val="21"/>
              </w:rPr>
              <w:t>6 Non-current assets – Plant &amp; Equipment</w:t>
            </w:r>
          </w:p>
        </w:tc>
      </w:tr>
      <w:tr w:rsidR="00E579CB" w:rsidRPr="00E579CB" w:rsidTr="00E579CB">
        <w:tblPrEx>
          <w:tblCellMar>
            <w:left w:w="108" w:type="dxa"/>
            <w:right w:w="108" w:type="dxa"/>
          </w:tblCellMar>
        </w:tblPrEx>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ind w:left="-108"/>
              <w:rPr>
                <w:rFonts w:cs="Arial"/>
                <w:color w:val="000000"/>
                <w:szCs w:val="21"/>
                <w:lang w:val="en-US"/>
              </w:rPr>
            </w:pPr>
            <w:r w:rsidRPr="00E579CB">
              <w:rPr>
                <w:rFonts w:cs="Arial"/>
                <w:b/>
                <w:bCs/>
                <w:color w:val="000000"/>
                <w:szCs w:val="21"/>
                <w:lang w:val="en-US"/>
              </w:rPr>
              <w:t>Computer Equipment</w:t>
            </w:r>
          </w:p>
        </w:tc>
        <w:tc>
          <w:tcPr>
            <w:tcW w:w="1587" w:type="dxa"/>
            <w:tcBorders>
              <w:top w:val="nil"/>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c>
          <w:tcPr>
            <w:tcW w:w="1297" w:type="dxa"/>
            <w:tcBorders>
              <w:top w:val="nil"/>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r>
      <w:tr w:rsidR="00E579CB" w:rsidRPr="00E579CB" w:rsidTr="00E579CB">
        <w:tblPrEx>
          <w:tblCellMar>
            <w:left w:w="108" w:type="dxa"/>
            <w:right w:w="108" w:type="dxa"/>
          </w:tblCellMar>
        </w:tblPrEx>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ind w:left="-108"/>
              <w:rPr>
                <w:rFonts w:cs="Arial"/>
                <w:color w:val="000000"/>
                <w:szCs w:val="21"/>
                <w:lang w:val="en-US"/>
              </w:rPr>
            </w:pPr>
            <w:r w:rsidRPr="00E579CB">
              <w:rPr>
                <w:rFonts w:cs="Arial"/>
                <w:color w:val="000000"/>
                <w:szCs w:val="21"/>
                <w:lang w:val="en-US"/>
              </w:rPr>
              <w:t>Computer Equipment – at cost</w:t>
            </w:r>
          </w:p>
        </w:tc>
        <w:tc>
          <w:tcPr>
            <w:tcW w:w="1587" w:type="dxa"/>
            <w:tcBorders>
              <w:top w:val="nil"/>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258,360</w:t>
            </w:r>
          </w:p>
        </w:tc>
        <w:tc>
          <w:tcPr>
            <w:tcW w:w="1297" w:type="dxa"/>
            <w:tcBorders>
              <w:top w:val="nil"/>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192,868</w:t>
            </w:r>
          </w:p>
        </w:tc>
      </w:tr>
      <w:tr w:rsidR="00E579CB" w:rsidRPr="00E579CB" w:rsidTr="00E579CB">
        <w:tblPrEx>
          <w:tblCellMar>
            <w:left w:w="108" w:type="dxa"/>
            <w:right w:w="108" w:type="dxa"/>
          </w:tblCellMar>
        </w:tblPrEx>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ind w:left="-108"/>
              <w:rPr>
                <w:rFonts w:cs="Arial"/>
                <w:color w:val="000000"/>
                <w:szCs w:val="21"/>
                <w:lang w:val="en-US"/>
              </w:rPr>
            </w:pPr>
            <w:r w:rsidRPr="00E579CB">
              <w:rPr>
                <w:rFonts w:cs="Arial"/>
                <w:color w:val="000000"/>
                <w:szCs w:val="21"/>
                <w:lang w:val="en-US"/>
              </w:rPr>
              <w:t>Less: accumulated depreciation</w:t>
            </w:r>
          </w:p>
        </w:tc>
        <w:tc>
          <w:tcPr>
            <w:tcW w:w="1587" w:type="dxa"/>
            <w:tcBorders>
              <w:top w:val="nil"/>
              <w:left w:val="nil"/>
              <w:bottom w:val="single" w:sz="4" w:space="0" w:color="auto"/>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(173,673)</w:t>
            </w:r>
          </w:p>
        </w:tc>
        <w:tc>
          <w:tcPr>
            <w:tcW w:w="1297" w:type="dxa"/>
            <w:tcBorders>
              <w:top w:val="nil"/>
              <w:left w:val="nil"/>
              <w:bottom w:val="single" w:sz="4" w:space="0" w:color="auto"/>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(146,156)</w:t>
            </w:r>
          </w:p>
        </w:tc>
      </w:tr>
      <w:tr w:rsidR="00E579CB" w:rsidRPr="00E579CB" w:rsidTr="00E579CB">
        <w:tblPrEx>
          <w:tblCellMar>
            <w:left w:w="108" w:type="dxa"/>
            <w:right w:w="108" w:type="dxa"/>
          </w:tblCellMar>
        </w:tblPrEx>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p>
        </w:tc>
        <w:tc>
          <w:tcPr>
            <w:tcW w:w="1587" w:type="dxa"/>
            <w:tcBorders>
              <w:top w:val="single" w:sz="4" w:space="0" w:color="auto"/>
              <w:left w:val="nil"/>
              <w:bottom w:val="single" w:sz="4" w:space="0" w:color="auto"/>
              <w:right w:val="nil"/>
            </w:tcBorders>
            <w:shd w:val="clear" w:color="auto" w:fill="auto"/>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84,687</w:t>
            </w:r>
          </w:p>
        </w:tc>
        <w:tc>
          <w:tcPr>
            <w:tcW w:w="1297" w:type="dxa"/>
            <w:tcBorders>
              <w:top w:val="single" w:sz="4" w:space="0" w:color="auto"/>
              <w:left w:val="nil"/>
              <w:bottom w:val="single" w:sz="4" w:space="0" w:color="auto"/>
              <w:right w:val="nil"/>
            </w:tcBorders>
            <w:shd w:val="clear" w:color="auto" w:fill="auto"/>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46,712</w:t>
            </w:r>
          </w:p>
        </w:tc>
      </w:tr>
      <w:tr w:rsidR="00E579CB" w:rsidRPr="00E579CB" w:rsidTr="00E579CB">
        <w:tblPrEx>
          <w:tblCellMar>
            <w:left w:w="108" w:type="dxa"/>
            <w:right w:w="108" w:type="dxa"/>
          </w:tblCellMar>
        </w:tblPrEx>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ind w:left="-108"/>
              <w:rPr>
                <w:rFonts w:cs="Arial"/>
                <w:b/>
                <w:color w:val="000000"/>
                <w:szCs w:val="21"/>
                <w:lang w:val="en-US"/>
              </w:rPr>
            </w:pPr>
          </w:p>
        </w:tc>
        <w:tc>
          <w:tcPr>
            <w:tcW w:w="1587" w:type="dxa"/>
            <w:tcBorders>
              <w:top w:val="single" w:sz="4" w:space="0" w:color="auto"/>
              <w:left w:val="nil"/>
              <w:right w:val="nil"/>
            </w:tcBorders>
            <w:vAlign w:val="center"/>
          </w:tcPr>
          <w:p w:rsidR="00E579CB" w:rsidRPr="00E579CB" w:rsidRDefault="00E579CB" w:rsidP="00E579CB">
            <w:pPr>
              <w:spacing w:after="40" w:line="260" w:lineRule="atLeast"/>
              <w:jc w:val="right"/>
              <w:rPr>
                <w:rFonts w:cs="Arial"/>
                <w:b/>
                <w:color w:val="000000"/>
                <w:szCs w:val="21"/>
                <w:highlight w:val="yellow"/>
                <w:lang w:val="en-US"/>
              </w:rPr>
            </w:pPr>
          </w:p>
        </w:tc>
        <w:tc>
          <w:tcPr>
            <w:tcW w:w="1297" w:type="dxa"/>
            <w:tcBorders>
              <w:top w:val="single" w:sz="4" w:space="0" w:color="auto"/>
              <w:left w:val="nil"/>
              <w:right w:val="nil"/>
            </w:tcBorders>
            <w:vAlign w:val="center"/>
          </w:tcPr>
          <w:p w:rsidR="00E579CB" w:rsidRPr="00E579CB" w:rsidRDefault="00E579CB" w:rsidP="00E579CB">
            <w:pPr>
              <w:spacing w:after="40" w:line="260" w:lineRule="atLeast"/>
              <w:jc w:val="right"/>
              <w:rPr>
                <w:rFonts w:cs="Arial"/>
                <w:b/>
                <w:color w:val="000000"/>
                <w:szCs w:val="21"/>
                <w:highlight w:val="yellow"/>
                <w:lang w:val="en-US"/>
              </w:rPr>
            </w:pPr>
          </w:p>
        </w:tc>
      </w:tr>
      <w:tr w:rsidR="00E579CB" w:rsidRPr="00E579CB" w:rsidTr="00E579CB">
        <w:tblPrEx>
          <w:tblCellMar>
            <w:left w:w="108" w:type="dxa"/>
            <w:right w:w="108" w:type="dxa"/>
          </w:tblCellMar>
        </w:tblPrEx>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ind w:left="-108"/>
              <w:rPr>
                <w:rFonts w:cs="Arial"/>
                <w:b/>
                <w:color w:val="000000"/>
                <w:szCs w:val="21"/>
                <w:lang w:val="en-US"/>
              </w:rPr>
            </w:pPr>
            <w:r w:rsidRPr="00E579CB">
              <w:rPr>
                <w:rFonts w:cs="Arial"/>
                <w:b/>
                <w:color w:val="000000"/>
                <w:szCs w:val="21"/>
                <w:lang w:val="en-US"/>
              </w:rPr>
              <w:t>Furniture &amp; Fixtures</w:t>
            </w:r>
          </w:p>
        </w:tc>
        <w:tc>
          <w:tcPr>
            <w:tcW w:w="1587" w:type="dxa"/>
            <w:tcBorders>
              <w:left w:val="nil"/>
              <w:right w:val="nil"/>
            </w:tcBorders>
            <w:vAlign w:val="center"/>
          </w:tcPr>
          <w:p w:rsidR="00E579CB" w:rsidRPr="00E579CB" w:rsidRDefault="00E579CB" w:rsidP="00E579CB">
            <w:pPr>
              <w:spacing w:after="40" w:line="260" w:lineRule="atLeast"/>
              <w:jc w:val="right"/>
              <w:rPr>
                <w:rFonts w:cs="Arial"/>
                <w:b/>
                <w:color w:val="000000"/>
                <w:szCs w:val="21"/>
                <w:highlight w:val="yellow"/>
                <w:lang w:val="en-US"/>
              </w:rPr>
            </w:pPr>
          </w:p>
        </w:tc>
        <w:tc>
          <w:tcPr>
            <w:tcW w:w="1297" w:type="dxa"/>
            <w:tcBorders>
              <w:left w:val="nil"/>
              <w:right w:val="nil"/>
            </w:tcBorders>
            <w:vAlign w:val="center"/>
          </w:tcPr>
          <w:p w:rsidR="00E579CB" w:rsidRPr="00E579CB" w:rsidRDefault="00E579CB" w:rsidP="00E579CB">
            <w:pPr>
              <w:spacing w:after="40" w:line="260" w:lineRule="atLeast"/>
              <w:jc w:val="right"/>
              <w:rPr>
                <w:rFonts w:cs="Arial"/>
                <w:b/>
                <w:color w:val="000000"/>
                <w:szCs w:val="21"/>
                <w:highlight w:val="yellow"/>
                <w:lang w:val="en-US"/>
              </w:rPr>
            </w:pP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Furniture &amp; Fixtures – at cost</w:t>
            </w:r>
          </w:p>
        </w:tc>
        <w:tc>
          <w:tcPr>
            <w:tcW w:w="1587" w:type="dxa"/>
            <w:tcBorders>
              <w:left w:val="nil"/>
              <w:right w:val="nil"/>
            </w:tcBorders>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60,938</w:t>
            </w:r>
          </w:p>
        </w:tc>
        <w:tc>
          <w:tcPr>
            <w:tcW w:w="1297" w:type="dxa"/>
            <w:tcBorders>
              <w:left w:val="nil"/>
              <w:right w:val="nil"/>
            </w:tcBorders>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54,453</w:t>
            </w: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Less: accumulated depreciation</w:t>
            </w:r>
          </w:p>
        </w:tc>
        <w:tc>
          <w:tcPr>
            <w:tcW w:w="1587" w:type="dxa"/>
            <w:tcBorders>
              <w:left w:val="nil"/>
              <w:bottom w:val="single" w:sz="4" w:space="0" w:color="auto"/>
              <w:right w:val="nil"/>
            </w:tcBorders>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(22,914)</w:t>
            </w:r>
          </w:p>
        </w:tc>
        <w:tc>
          <w:tcPr>
            <w:tcW w:w="1297" w:type="dxa"/>
            <w:tcBorders>
              <w:left w:val="nil"/>
              <w:bottom w:val="single" w:sz="4" w:space="0" w:color="auto"/>
              <w:right w:val="nil"/>
            </w:tcBorders>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(17,452)</w:t>
            </w:r>
          </w:p>
        </w:tc>
      </w:tr>
      <w:tr w:rsidR="00E579CB" w:rsidRPr="00E579CB" w:rsidTr="00E579CB">
        <w:tblPrEx>
          <w:tblCellMar>
            <w:left w:w="108" w:type="dxa"/>
            <w:right w:w="108" w:type="dxa"/>
          </w:tblCellMar>
        </w:tblPrEx>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p>
        </w:tc>
        <w:tc>
          <w:tcPr>
            <w:tcW w:w="1587" w:type="dxa"/>
            <w:tcBorders>
              <w:top w:val="single" w:sz="4" w:space="0" w:color="auto"/>
              <w:left w:val="nil"/>
              <w:bottom w:val="single" w:sz="4" w:space="0" w:color="auto"/>
              <w:right w:val="nil"/>
            </w:tcBorders>
            <w:vAlign w:val="center"/>
          </w:tcPr>
          <w:p w:rsidR="00E579CB" w:rsidRPr="00E579CB" w:rsidRDefault="00E579CB" w:rsidP="00E579CB">
            <w:pPr>
              <w:spacing w:after="40" w:line="260" w:lineRule="atLeast"/>
              <w:ind w:right="34"/>
              <w:jc w:val="right"/>
              <w:rPr>
                <w:rFonts w:cs="Arial"/>
                <w:color w:val="000000"/>
                <w:szCs w:val="21"/>
                <w:lang w:val="en-US"/>
              </w:rPr>
            </w:pPr>
            <w:r w:rsidRPr="00E579CB">
              <w:rPr>
                <w:rFonts w:cs="Arial"/>
                <w:color w:val="000000"/>
                <w:szCs w:val="21"/>
                <w:lang w:val="en-US"/>
              </w:rPr>
              <w:t>38,024</w:t>
            </w:r>
          </w:p>
        </w:tc>
        <w:tc>
          <w:tcPr>
            <w:tcW w:w="1297" w:type="dxa"/>
            <w:tcBorders>
              <w:top w:val="single" w:sz="4" w:space="0" w:color="auto"/>
              <w:left w:val="nil"/>
              <w:bottom w:val="single" w:sz="4" w:space="0" w:color="auto"/>
              <w:right w:val="nil"/>
            </w:tcBorders>
            <w:vAlign w:val="center"/>
          </w:tcPr>
          <w:p w:rsidR="00E579CB" w:rsidRPr="00E579CB" w:rsidRDefault="00E579CB" w:rsidP="00E579CB">
            <w:pPr>
              <w:spacing w:after="40" w:line="260" w:lineRule="atLeast"/>
              <w:ind w:right="34"/>
              <w:jc w:val="right"/>
              <w:rPr>
                <w:rFonts w:cs="Arial"/>
                <w:color w:val="000000"/>
                <w:szCs w:val="21"/>
                <w:lang w:val="en-US"/>
              </w:rPr>
            </w:pPr>
            <w:r w:rsidRPr="00E579CB">
              <w:rPr>
                <w:rFonts w:cs="Arial"/>
                <w:color w:val="000000"/>
                <w:szCs w:val="21"/>
                <w:lang w:val="en-US"/>
              </w:rPr>
              <w:t>37,001</w:t>
            </w: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b/>
                <w:color w:val="000000"/>
                <w:szCs w:val="21"/>
                <w:lang w:val="en-US"/>
              </w:rPr>
            </w:pPr>
          </w:p>
        </w:tc>
        <w:tc>
          <w:tcPr>
            <w:tcW w:w="1587" w:type="dxa"/>
            <w:tcBorders>
              <w:left w:val="nil"/>
              <w:right w:val="nil"/>
            </w:tcBorders>
            <w:vAlign w:val="center"/>
          </w:tcPr>
          <w:p w:rsidR="00E579CB" w:rsidRPr="00E579CB" w:rsidRDefault="00E579CB" w:rsidP="00E579CB">
            <w:pPr>
              <w:spacing w:after="40" w:line="260" w:lineRule="atLeast"/>
              <w:jc w:val="right"/>
              <w:rPr>
                <w:rFonts w:cs="Arial"/>
                <w:b/>
                <w:color w:val="000000"/>
                <w:szCs w:val="21"/>
                <w:lang w:val="en-US"/>
              </w:rPr>
            </w:pPr>
          </w:p>
        </w:tc>
        <w:tc>
          <w:tcPr>
            <w:tcW w:w="1297" w:type="dxa"/>
            <w:tcBorders>
              <w:left w:val="nil"/>
              <w:right w:val="nil"/>
            </w:tcBorders>
            <w:vAlign w:val="center"/>
          </w:tcPr>
          <w:p w:rsidR="00E579CB" w:rsidRPr="00E579CB" w:rsidRDefault="00E579CB" w:rsidP="00E579CB">
            <w:pPr>
              <w:spacing w:after="40" w:line="260" w:lineRule="atLeast"/>
              <w:jc w:val="right"/>
              <w:rPr>
                <w:rFonts w:cs="Arial"/>
                <w:b/>
                <w:color w:val="000000"/>
                <w:szCs w:val="21"/>
                <w:lang w:val="en-US"/>
              </w:rPr>
            </w:pP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b/>
                <w:color w:val="000000"/>
                <w:szCs w:val="21"/>
                <w:lang w:val="en-US"/>
              </w:rPr>
              <w:t>Leasehold Improvements</w:t>
            </w:r>
          </w:p>
        </w:tc>
        <w:tc>
          <w:tcPr>
            <w:tcW w:w="1587" w:type="dxa"/>
            <w:tcBorders>
              <w:left w:val="nil"/>
              <w:right w:val="nil"/>
            </w:tcBorders>
            <w:vAlign w:val="center"/>
          </w:tcPr>
          <w:p w:rsidR="00E579CB" w:rsidRPr="00E579CB" w:rsidRDefault="00E579CB" w:rsidP="00E579CB">
            <w:pPr>
              <w:spacing w:after="40" w:line="260" w:lineRule="atLeast"/>
              <w:jc w:val="right"/>
              <w:rPr>
                <w:rFonts w:cs="Arial"/>
                <w:b/>
                <w:color w:val="000000"/>
                <w:szCs w:val="21"/>
                <w:lang w:val="en-US"/>
              </w:rPr>
            </w:pPr>
          </w:p>
        </w:tc>
        <w:tc>
          <w:tcPr>
            <w:tcW w:w="1297" w:type="dxa"/>
            <w:tcBorders>
              <w:left w:val="nil"/>
              <w:right w:val="nil"/>
            </w:tcBorders>
            <w:vAlign w:val="center"/>
          </w:tcPr>
          <w:p w:rsidR="00E579CB" w:rsidRPr="00E579CB" w:rsidRDefault="00E579CB" w:rsidP="00E579CB">
            <w:pPr>
              <w:spacing w:after="40" w:line="260" w:lineRule="atLeast"/>
              <w:jc w:val="right"/>
              <w:rPr>
                <w:rFonts w:cs="Arial"/>
                <w:b/>
                <w:color w:val="000000"/>
                <w:szCs w:val="21"/>
                <w:lang w:val="en-US"/>
              </w:rPr>
            </w:pP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Leasehold improvements – at cost</w:t>
            </w:r>
          </w:p>
        </w:tc>
        <w:tc>
          <w:tcPr>
            <w:tcW w:w="1587" w:type="dxa"/>
            <w:tcBorders>
              <w:left w:val="nil"/>
              <w:right w:val="nil"/>
            </w:tcBorders>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4,841</w:t>
            </w:r>
          </w:p>
        </w:tc>
        <w:tc>
          <w:tcPr>
            <w:tcW w:w="1297" w:type="dxa"/>
            <w:tcBorders>
              <w:left w:val="nil"/>
              <w:right w:val="nil"/>
            </w:tcBorders>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4,841</w:t>
            </w: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Less: accumulated depreciation</w:t>
            </w:r>
          </w:p>
        </w:tc>
        <w:tc>
          <w:tcPr>
            <w:tcW w:w="1587" w:type="dxa"/>
            <w:tcBorders>
              <w:left w:val="nil"/>
              <w:bottom w:val="single" w:sz="4" w:space="0" w:color="auto"/>
              <w:right w:val="nil"/>
            </w:tcBorders>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(4,841)</w:t>
            </w:r>
          </w:p>
        </w:tc>
        <w:tc>
          <w:tcPr>
            <w:tcW w:w="1297" w:type="dxa"/>
            <w:tcBorders>
              <w:left w:val="nil"/>
              <w:bottom w:val="single" w:sz="4" w:space="0" w:color="auto"/>
              <w:right w:val="nil"/>
            </w:tcBorders>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(4,841)</w:t>
            </w: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p>
        </w:tc>
        <w:tc>
          <w:tcPr>
            <w:tcW w:w="1587" w:type="dxa"/>
            <w:tcBorders>
              <w:top w:val="single" w:sz="4" w:space="0" w:color="auto"/>
              <w:left w:val="nil"/>
              <w:bottom w:val="single" w:sz="4" w:space="0" w:color="auto"/>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w:t>
            </w:r>
          </w:p>
        </w:tc>
        <w:tc>
          <w:tcPr>
            <w:tcW w:w="1297" w:type="dxa"/>
            <w:tcBorders>
              <w:top w:val="single" w:sz="4" w:space="0" w:color="auto"/>
              <w:left w:val="nil"/>
              <w:bottom w:val="single" w:sz="4" w:space="0" w:color="auto"/>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w:t>
            </w: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b/>
                <w:color w:val="000000"/>
                <w:szCs w:val="21"/>
                <w:lang w:val="en-US"/>
              </w:rPr>
            </w:pPr>
          </w:p>
        </w:tc>
        <w:tc>
          <w:tcPr>
            <w:tcW w:w="1587" w:type="dxa"/>
            <w:tcBorders>
              <w:left w:val="nil"/>
              <w:right w:val="nil"/>
            </w:tcBorders>
            <w:vAlign w:val="center"/>
          </w:tcPr>
          <w:p w:rsidR="00E579CB" w:rsidRPr="00E579CB" w:rsidRDefault="00E579CB" w:rsidP="00E579CB">
            <w:pPr>
              <w:spacing w:after="40" w:line="260" w:lineRule="atLeast"/>
              <w:jc w:val="right"/>
              <w:rPr>
                <w:rFonts w:cs="Arial"/>
                <w:b/>
                <w:color w:val="000000"/>
                <w:szCs w:val="21"/>
                <w:lang w:val="en-US"/>
              </w:rPr>
            </w:pPr>
          </w:p>
        </w:tc>
        <w:tc>
          <w:tcPr>
            <w:tcW w:w="1297" w:type="dxa"/>
            <w:tcBorders>
              <w:left w:val="nil"/>
              <w:right w:val="nil"/>
            </w:tcBorders>
            <w:vAlign w:val="center"/>
          </w:tcPr>
          <w:p w:rsidR="00E579CB" w:rsidRPr="00E579CB" w:rsidRDefault="00E579CB" w:rsidP="00E579CB">
            <w:pPr>
              <w:spacing w:after="40" w:line="260" w:lineRule="atLeast"/>
              <w:jc w:val="right"/>
              <w:rPr>
                <w:rFonts w:cs="Arial"/>
                <w:b/>
                <w:color w:val="000000"/>
                <w:szCs w:val="21"/>
                <w:lang w:val="en-US"/>
              </w:rPr>
            </w:pP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b/>
                <w:color w:val="000000"/>
                <w:szCs w:val="21"/>
                <w:lang w:val="en-US"/>
              </w:rPr>
              <w:t>Buildings</w:t>
            </w:r>
          </w:p>
        </w:tc>
        <w:tc>
          <w:tcPr>
            <w:tcW w:w="1587" w:type="dxa"/>
            <w:tcBorders>
              <w:left w:val="nil"/>
              <w:right w:val="nil"/>
            </w:tcBorders>
            <w:vAlign w:val="center"/>
          </w:tcPr>
          <w:p w:rsidR="00E579CB" w:rsidRPr="00E579CB" w:rsidRDefault="00E579CB" w:rsidP="00E579CB">
            <w:pPr>
              <w:spacing w:after="40" w:line="260" w:lineRule="atLeast"/>
              <w:jc w:val="right"/>
              <w:rPr>
                <w:rFonts w:cs="Arial"/>
                <w:b/>
                <w:color w:val="000000"/>
                <w:szCs w:val="21"/>
                <w:lang w:val="en-US"/>
              </w:rPr>
            </w:pPr>
          </w:p>
        </w:tc>
        <w:tc>
          <w:tcPr>
            <w:tcW w:w="1297" w:type="dxa"/>
            <w:tcBorders>
              <w:left w:val="nil"/>
              <w:right w:val="nil"/>
            </w:tcBorders>
            <w:vAlign w:val="center"/>
          </w:tcPr>
          <w:p w:rsidR="00E579CB" w:rsidRPr="00E579CB" w:rsidRDefault="00E579CB" w:rsidP="00E579CB">
            <w:pPr>
              <w:spacing w:after="40" w:line="260" w:lineRule="atLeast"/>
              <w:jc w:val="right"/>
              <w:rPr>
                <w:rFonts w:cs="Arial"/>
                <w:b/>
                <w:color w:val="000000"/>
                <w:szCs w:val="21"/>
                <w:lang w:val="en-US"/>
              </w:rPr>
            </w:pPr>
          </w:p>
        </w:tc>
      </w:tr>
      <w:tr w:rsidR="00E579CB" w:rsidRPr="00E579CB" w:rsidTr="00E579CB">
        <w:trPr>
          <w:trHeight w:val="315"/>
        </w:trPr>
        <w:tc>
          <w:tcPr>
            <w:tcW w:w="6047" w:type="dxa"/>
            <w:tcBorders>
              <w:top w:val="nil"/>
              <w:left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 xml:space="preserve">Buildings – at cost </w:t>
            </w:r>
          </w:p>
        </w:tc>
        <w:tc>
          <w:tcPr>
            <w:tcW w:w="1587" w:type="dxa"/>
            <w:tcBorders>
              <w:left w:val="nil"/>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w:t>
            </w:r>
          </w:p>
        </w:tc>
        <w:tc>
          <w:tcPr>
            <w:tcW w:w="1297" w:type="dxa"/>
            <w:tcBorders>
              <w:left w:val="nil"/>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7,633,725</w:t>
            </w:r>
          </w:p>
        </w:tc>
      </w:tr>
      <w:tr w:rsidR="00E579CB" w:rsidRPr="00E579CB" w:rsidTr="00E579CB">
        <w:trPr>
          <w:trHeight w:val="315"/>
        </w:trPr>
        <w:tc>
          <w:tcPr>
            <w:tcW w:w="6047" w:type="dxa"/>
            <w:tcBorders>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Less: accumulated depreciation</w:t>
            </w:r>
          </w:p>
        </w:tc>
        <w:tc>
          <w:tcPr>
            <w:tcW w:w="1587" w:type="dxa"/>
            <w:tcBorders>
              <w:left w:val="nil"/>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w:t>
            </w:r>
          </w:p>
        </w:tc>
        <w:tc>
          <w:tcPr>
            <w:tcW w:w="1297" w:type="dxa"/>
            <w:tcBorders>
              <w:left w:val="nil"/>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(454,435)</w:t>
            </w:r>
          </w:p>
        </w:tc>
      </w:tr>
      <w:tr w:rsidR="00E579CB" w:rsidRPr="00E579CB" w:rsidTr="00E579CB">
        <w:trPr>
          <w:trHeight w:val="315"/>
        </w:trPr>
        <w:tc>
          <w:tcPr>
            <w:tcW w:w="6047" w:type="dxa"/>
            <w:tcBorders>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Transfer to Summer Housing</w:t>
            </w:r>
          </w:p>
        </w:tc>
        <w:tc>
          <w:tcPr>
            <w:tcW w:w="1587" w:type="dxa"/>
            <w:tcBorders>
              <w:left w:val="nil"/>
              <w:bottom w:val="single" w:sz="4" w:space="0" w:color="auto"/>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w:t>
            </w:r>
          </w:p>
        </w:tc>
        <w:tc>
          <w:tcPr>
            <w:tcW w:w="1297" w:type="dxa"/>
            <w:tcBorders>
              <w:left w:val="nil"/>
              <w:bottom w:val="single" w:sz="4" w:space="0" w:color="auto"/>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(7,179,290)</w:t>
            </w: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p>
        </w:tc>
        <w:tc>
          <w:tcPr>
            <w:tcW w:w="1587" w:type="dxa"/>
            <w:tcBorders>
              <w:top w:val="single" w:sz="4" w:space="0" w:color="auto"/>
              <w:left w:val="nil"/>
              <w:bottom w:val="single" w:sz="4" w:space="0" w:color="auto"/>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w:t>
            </w:r>
          </w:p>
        </w:tc>
        <w:tc>
          <w:tcPr>
            <w:tcW w:w="1297" w:type="dxa"/>
            <w:tcBorders>
              <w:top w:val="single" w:sz="4" w:space="0" w:color="auto"/>
              <w:left w:val="nil"/>
              <w:bottom w:val="single" w:sz="4" w:space="0" w:color="auto"/>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w:t>
            </w: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p>
        </w:tc>
        <w:tc>
          <w:tcPr>
            <w:tcW w:w="1587" w:type="dxa"/>
            <w:tcBorders>
              <w:top w:val="single" w:sz="4" w:space="0" w:color="auto"/>
              <w:left w:val="nil"/>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p>
        </w:tc>
        <w:tc>
          <w:tcPr>
            <w:tcW w:w="1297" w:type="dxa"/>
            <w:tcBorders>
              <w:top w:val="single" w:sz="4" w:space="0" w:color="auto"/>
              <w:left w:val="nil"/>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685439">
            <w:pPr>
              <w:pStyle w:val="Heading2"/>
              <w:rPr>
                <w:bCs/>
                <w:lang w:eastAsia="en-AU"/>
              </w:rPr>
            </w:pPr>
            <w:r w:rsidRPr="00E579CB">
              <w:rPr>
                <w:bCs/>
                <w:lang w:eastAsia="en-AU"/>
              </w:rPr>
              <w:lastRenderedPageBreak/>
              <w:t xml:space="preserve">Notes to the Financial Statements </w:t>
            </w:r>
          </w:p>
        </w:tc>
        <w:tc>
          <w:tcPr>
            <w:tcW w:w="1587" w:type="dxa"/>
            <w:tcBorders>
              <w:left w:val="nil"/>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p>
        </w:tc>
        <w:tc>
          <w:tcPr>
            <w:tcW w:w="1297" w:type="dxa"/>
            <w:tcBorders>
              <w:left w:val="nil"/>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ind w:left="-108"/>
              <w:rPr>
                <w:rFonts w:cs="Arial"/>
                <w:b/>
                <w:color w:val="000000"/>
                <w:szCs w:val="21"/>
                <w:lang w:val="en-US"/>
              </w:rPr>
            </w:pPr>
            <w:r w:rsidRPr="00E579CB">
              <w:rPr>
                <w:rFonts w:cs="Arial"/>
                <w:b/>
                <w:color w:val="000000"/>
                <w:szCs w:val="21"/>
                <w:lang w:val="en-US"/>
              </w:rPr>
              <w:t xml:space="preserve">66 Non-current assets </w:t>
            </w:r>
            <w:r w:rsidRPr="00E579CB">
              <w:rPr>
                <w:rFonts w:cs="Arial"/>
                <w:szCs w:val="21"/>
              </w:rPr>
              <w:t xml:space="preserve">– </w:t>
            </w:r>
            <w:r w:rsidRPr="00E579CB">
              <w:rPr>
                <w:rFonts w:cs="Arial"/>
                <w:b/>
                <w:color w:val="000000"/>
                <w:szCs w:val="21"/>
                <w:lang w:val="en-US"/>
              </w:rPr>
              <w:t>Plant &amp; Equipment (continued)</w:t>
            </w:r>
          </w:p>
        </w:tc>
        <w:tc>
          <w:tcPr>
            <w:tcW w:w="1587" w:type="dxa"/>
            <w:tcBorders>
              <w:left w:val="nil"/>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p>
        </w:tc>
        <w:tc>
          <w:tcPr>
            <w:tcW w:w="1297" w:type="dxa"/>
            <w:tcBorders>
              <w:left w:val="nil"/>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p>
        </w:tc>
        <w:tc>
          <w:tcPr>
            <w:tcW w:w="1587" w:type="dxa"/>
            <w:tcBorders>
              <w:left w:val="nil"/>
              <w:right w:val="nil"/>
            </w:tcBorders>
          </w:tcPr>
          <w:p w:rsidR="00E579CB" w:rsidRPr="00E579CB" w:rsidRDefault="00E579CB" w:rsidP="00E579CB">
            <w:pPr>
              <w:spacing w:after="40" w:line="260" w:lineRule="atLeast"/>
              <w:ind w:right="142"/>
              <w:jc w:val="right"/>
              <w:rPr>
                <w:rFonts w:cs="Arial"/>
                <w:color w:val="000000"/>
                <w:szCs w:val="21"/>
                <w:lang w:val="en-US"/>
              </w:rPr>
            </w:pPr>
            <w:r w:rsidRPr="00E579CB">
              <w:rPr>
                <w:rFonts w:cs="Arial"/>
                <w:b/>
                <w:bCs/>
                <w:color w:val="000000"/>
                <w:szCs w:val="21"/>
                <w:lang w:val="en-US"/>
              </w:rPr>
              <w:t>2019</w:t>
            </w:r>
          </w:p>
        </w:tc>
        <w:tc>
          <w:tcPr>
            <w:tcW w:w="1297" w:type="dxa"/>
            <w:tcBorders>
              <w:left w:val="nil"/>
              <w:right w:val="nil"/>
            </w:tcBorders>
          </w:tcPr>
          <w:p w:rsidR="00E579CB" w:rsidRPr="00E579CB" w:rsidRDefault="00E579CB" w:rsidP="00E579CB">
            <w:pPr>
              <w:spacing w:after="40" w:line="260" w:lineRule="atLeast"/>
              <w:ind w:right="142"/>
              <w:jc w:val="right"/>
              <w:rPr>
                <w:rFonts w:cs="Arial"/>
                <w:color w:val="000000"/>
                <w:szCs w:val="21"/>
                <w:lang w:val="en-US"/>
              </w:rPr>
            </w:pPr>
            <w:r w:rsidRPr="00E579CB">
              <w:rPr>
                <w:rFonts w:cs="Arial"/>
                <w:b/>
                <w:bCs/>
                <w:color w:val="000000"/>
                <w:szCs w:val="21"/>
                <w:lang w:val="en-US"/>
              </w:rPr>
              <w:t>2018</w:t>
            </w: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p>
        </w:tc>
        <w:tc>
          <w:tcPr>
            <w:tcW w:w="1587" w:type="dxa"/>
            <w:tcBorders>
              <w:left w:val="nil"/>
              <w:right w:val="nil"/>
            </w:tcBorders>
          </w:tcPr>
          <w:p w:rsidR="00E579CB" w:rsidRPr="00E579CB" w:rsidRDefault="00E579CB" w:rsidP="00E579CB">
            <w:pPr>
              <w:spacing w:after="40" w:line="260" w:lineRule="atLeast"/>
              <w:ind w:right="142"/>
              <w:jc w:val="right"/>
              <w:rPr>
                <w:rFonts w:cs="Arial"/>
                <w:color w:val="000000"/>
                <w:szCs w:val="21"/>
                <w:lang w:val="en-US"/>
              </w:rPr>
            </w:pPr>
            <w:r w:rsidRPr="00E579CB">
              <w:rPr>
                <w:rFonts w:cs="Arial"/>
                <w:b/>
                <w:bCs/>
                <w:color w:val="000000"/>
                <w:szCs w:val="21"/>
                <w:lang w:val="en-US"/>
              </w:rPr>
              <w:t>$</w:t>
            </w:r>
          </w:p>
        </w:tc>
        <w:tc>
          <w:tcPr>
            <w:tcW w:w="1297" w:type="dxa"/>
            <w:tcBorders>
              <w:left w:val="nil"/>
              <w:right w:val="nil"/>
            </w:tcBorders>
          </w:tcPr>
          <w:p w:rsidR="00E579CB" w:rsidRPr="00E579CB" w:rsidRDefault="00E579CB" w:rsidP="00E579CB">
            <w:pPr>
              <w:spacing w:after="40" w:line="260" w:lineRule="atLeast"/>
              <w:ind w:right="142"/>
              <w:jc w:val="right"/>
              <w:rPr>
                <w:rFonts w:cs="Arial"/>
                <w:color w:val="000000"/>
                <w:szCs w:val="21"/>
                <w:lang w:val="en-US"/>
              </w:rPr>
            </w:pPr>
            <w:r w:rsidRPr="00E579CB">
              <w:rPr>
                <w:rFonts w:cs="Arial"/>
                <w:b/>
                <w:bCs/>
                <w:color w:val="000000"/>
                <w:szCs w:val="21"/>
                <w:lang w:val="en-US"/>
              </w:rPr>
              <w:t>$</w:t>
            </w: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b/>
                <w:color w:val="000000"/>
                <w:szCs w:val="21"/>
                <w:lang w:val="en-US"/>
              </w:rPr>
              <w:t>Rapid Housing Prototype (under construction)</w:t>
            </w:r>
          </w:p>
        </w:tc>
        <w:tc>
          <w:tcPr>
            <w:tcW w:w="1587" w:type="dxa"/>
            <w:tcBorders>
              <w:left w:val="nil"/>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p>
        </w:tc>
        <w:tc>
          <w:tcPr>
            <w:tcW w:w="1297" w:type="dxa"/>
            <w:tcBorders>
              <w:left w:val="nil"/>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 xml:space="preserve">Rapid Housing Prototype – at cost </w:t>
            </w:r>
          </w:p>
        </w:tc>
        <w:tc>
          <w:tcPr>
            <w:tcW w:w="1587" w:type="dxa"/>
            <w:tcBorders>
              <w:left w:val="nil"/>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161,228</w:t>
            </w:r>
          </w:p>
        </w:tc>
        <w:tc>
          <w:tcPr>
            <w:tcW w:w="1297" w:type="dxa"/>
            <w:tcBorders>
              <w:left w:val="nil"/>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w:t>
            </w: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p>
        </w:tc>
        <w:tc>
          <w:tcPr>
            <w:tcW w:w="1587" w:type="dxa"/>
            <w:tcBorders>
              <w:top w:val="single" w:sz="4" w:space="0" w:color="auto"/>
              <w:left w:val="nil"/>
              <w:bottom w:val="single" w:sz="4" w:space="0" w:color="auto"/>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161,228</w:t>
            </w:r>
          </w:p>
        </w:tc>
        <w:tc>
          <w:tcPr>
            <w:tcW w:w="1297" w:type="dxa"/>
            <w:tcBorders>
              <w:top w:val="single" w:sz="4" w:space="0" w:color="auto"/>
              <w:left w:val="nil"/>
              <w:bottom w:val="single" w:sz="4" w:space="0" w:color="auto"/>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r w:rsidRPr="00E579CB">
              <w:rPr>
                <w:rFonts w:cs="Arial"/>
                <w:color w:val="000000"/>
                <w:szCs w:val="21"/>
                <w:lang w:val="en-US"/>
              </w:rPr>
              <w:t>-</w:t>
            </w:r>
          </w:p>
        </w:tc>
      </w:tr>
      <w:tr w:rsidR="00E579CB" w:rsidRPr="00E579CB" w:rsidTr="00E579CB">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p>
        </w:tc>
        <w:tc>
          <w:tcPr>
            <w:tcW w:w="1587" w:type="dxa"/>
            <w:tcBorders>
              <w:top w:val="single" w:sz="4" w:space="0" w:color="auto"/>
              <w:left w:val="nil"/>
              <w:bottom w:val="single" w:sz="4" w:space="0" w:color="auto"/>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p>
        </w:tc>
        <w:tc>
          <w:tcPr>
            <w:tcW w:w="1297" w:type="dxa"/>
            <w:tcBorders>
              <w:top w:val="single" w:sz="4" w:space="0" w:color="auto"/>
              <w:left w:val="nil"/>
              <w:bottom w:val="single" w:sz="4" w:space="0" w:color="auto"/>
              <w:right w:val="nil"/>
            </w:tcBorders>
            <w:vAlign w:val="center"/>
          </w:tcPr>
          <w:p w:rsidR="00E579CB" w:rsidRPr="00E579CB" w:rsidRDefault="00E579CB" w:rsidP="00E579CB">
            <w:pPr>
              <w:spacing w:after="40" w:line="260" w:lineRule="atLeast"/>
              <w:ind w:right="142"/>
              <w:jc w:val="right"/>
              <w:rPr>
                <w:rFonts w:cs="Arial"/>
                <w:color w:val="000000"/>
                <w:szCs w:val="21"/>
                <w:lang w:val="en-US"/>
              </w:rPr>
            </w:pPr>
          </w:p>
        </w:tc>
      </w:tr>
      <w:tr w:rsidR="00E579CB" w:rsidRPr="00E579CB" w:rsidTr="00E579CB">
        <w:tblPrEx>
          <w:tblCellMar>
            <w:left w:w="108" w:type="dxa"/>
            <w:right w:w="108" w:type="dxa"/>
          </w:tblCellMar>
        </w:tblPrEx>
        <w:trPr>
          <w:trHeight w:val="315"/>
        </w:trPr>
        <w:tc>
          <w:tcPr>
            <w:tcW w:w="6047" w:type="dxa"/>
            <w:tcBorders>
              <w:top w:val="nil"/>
              <w:left w:val="nil"/>
              <w:bottom w:val="nil"/>
              <w:right w:val="nil"/>
            </w:tcBorders>
            <w:shd w:val="clear" w:color="auto" w:fill="auto"/>
            <w:vAlign w:val="center"/>
          </w:tcPr>
          <w:p w:rsidR="00E579CB" w:rsidRPr="00E579CB" w:rsidRDefault="00E579CB" w:rsidP="00E579CB">
            <w:pPr>
              <w:spacing w:after="40" w:line="260" w:lineRule="atLeast"/>
              <w:ind w:left="-108"/>
              <w:rPr>
                <w:rFonts w:cs="Arial"/>
                <w:color w:val="000000"/>
                <w:szCs w:val="21"/>
                <w:lang w:val="en-US"/>
              </w:rPr>
            </w:pPr>
            <w:r w:rsidRPr="00E579CB">
              <w:rPr>
                <w:rFonts w:cs="Arial"/>
                <w:color w:val="000000"/>
                <w:szCs w:val="21"/>
                <w:lang w:val="en-US"/>
              </w:rPr>
              <w:t>Total Plant &amp; Equipment</w:t>
            </w:r>
          </w:p>
        </w:tc>
        <w:tc>
          <w:tcPr>
            <w:tcW w:w="1587" w:type="dxa"/>
            <w:tcBorders>
              <w:top w:val="single" w:sz="4" w:space="0" w:color="auto"/>
              <w:left w:val="nil"/>
              <w:bottom w:val="double" w:sz="4" w:space="0" w:color="auto"/>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283,939</w:t>
            </w:r>
          </w:p>
        </w:tc>
        <w:tc>
          <w:tcPr>
            <w:tcW w:w="1297" w:type="dxa"/>
            <w:tcBorders>
              <w:top w:val="single" w:sz="4" w:space="0" w:color="auto"/>
              <w:left w:val="nil"/>
              <w:bottom w:val="double" w:sz="4" w:space="0" w:color="auto"/>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83,713</w:t>
            </w:r>
          </w:p>
        </w:tc>
      </w:tr>
    </w:tbl>
    <w:p w:rsidR="00E579CB" w:rsidRPr="00E579CB" w:rsidRDefault="00E579CB" w:rsidP="00E579CB">
      <w:pPr>
        <w:spacing w:after="0"/>
        <w:rPr>
          <w:szCs w:val="21"/>
        </w:rPr>
      </w:pPr>
    </w:p>
    <w:tbl>
      <w:tblPr>
        <w:tblW w:w="8364" w:type="dxa"/>
        <w:tblLayout w:type="fixed"/>
        <w:tblLook w:val="0000" w:firstRow="0" w:lastRow="0" w:firstColumn="0" w:lastColumn="0" w:noHBand="0" w:noVBand="0"/>
      </w:tblPr>
      <w:tblGrid>
        <w:gridCol w:w="2973"/>
        <w:gridCol w:w="1384"/>
        <w:gridCol w:w="1279"/>
        <w:gridCol w:w="97"/>
        <w:gridCol w:w="1235"/>
        <w:gridCol w:w="262"/>
        <w:gridCol w:w="678"/>
        <w:gridCol w:w="456"/>
      </w:tblGrid>
      <w:tr w:rsidR="00E579CB" w:rsidRPr="00E579CB" w:rsidTr="00E579CB">
        <w:trPr>
          <w:gridAfter w:val="1"/>
          <w:wAfter w:w="456" w:type="dxa"/>
          <w:trHeight w:val="315"/>
        </w:trPr>
        <w:tc>
          <w:tcPr>
            <w:tcW w:w="7908" w:type="dxa"/>
            <w:gridSpan w:val="7"/>
            <w:tcBorders>
              <w:left w:val="nil"/>
              <w:right w:val="nil"/>
            </w:tcBorders>
            <w:shd w:val="clear" w:color="auto" w:fill="auto"/>
            <w:vAlign w:val="center"/>
          </w:tcPr>
          <w:p w:rsidR="00E579CB" w:rsidRPr="00E579CB" w:rsidRDefault="00E579CB" w:rsidP="00E579CB">
            <w:pPr>
              <w:spacing w:after="40" w:line="260" w:lineRule="atLeast"/>
              <w:ind w:left="-108"/>
              <w:rPr>
                <w:rFonts w:cs="Arial"/>
                <w:color w:val="000000"/>
                <w:szCs w:val="21"/>
                <w:lang w:val="en-US"/>
              </w:rPr>
            </w:pPr>
            <w:r w:rsidRPr="00E579CB">
              <w:rPr>
                <w:rFonts w:cs="Arial"/>
                <w:b/>
                <w:color w:val="000000"/>
                <w:szCs w:val="21"/>
                <w:lang w:val="en-US"/>
              </w:rPr>
              <w:t>Reconciliation</w:t>
            </w:r>
            <w:r w:rsidRPr="00E579CB">
              <w:rPr>
                <w:rFonts w:cs="Arial"/>
                <w:color w:val="000000"/>
                <w:szCs w:val="21"/>
                <w:lang w:val="en-US"/>
              </w:rPr>
              <w:t xml:space="preserve"> </w:t>
            </w:r>
          </w:p>
          <w:p w:rsidR="00E579CB" w:rsidRPr="00E579CB" w:rsidRDefault="00E579CB" w:rsidP="00E579CB">
            <w:pPr>
              <w:spacing w:after="40" w:line="260" w:lineRule="atLeast"/>
              <w:ind w:left="-108"/>
              <w:rPr>
                <w:rFonts w:cs="Arial"/>
                <w:b/>
                <w:color w:val="000000"/>
                <w:szCs w:val="21"/>
                <w:lang w:val="en-US"/>
              </w:rPr>
            </w:pPr>
            <w:r w:rsidRPr="00E579CB">
              <w:rPr>
                <w:rFonts w:cs="Arial"/>
                <w:color w:val="000000"/>
                <w:szCs w:val="21"/>
                <w:lang w:val="en-US"/>
              </w:rPr>
              <w:t>Reconciliation of the carrying amounts of each class of plant and equipment at the beginning and the end of the financial period are set out below:</w:t>
            </w:r>
          </w:p>
        </w:tc>
      </w:tr>
      <w:tr w:rsidR="00E579CB" w:rsidRPr="00E579CB" w:rsidTr="00E579CB">
        <w:trPr>
          <w:gridAfter w:val="1"/>
          <w:wAfter w:w="456" w:type="dxa"/>
          <w:trHeight w:val="315"/>
        </w:trPr>
        <w:tc>
          <w:tcPr>
            <w:tcW w:w="5733" w:type="dxa"/>
            <w:gridSpan w:val="4"/>
            <w:tcBorders>
              <w:left w:val="nil"/>
              <w:right w:val="nil"/>
            </w:tcBorders>
            <w:shd w:val="clear" w:color="auto" w:fill="auto"/>
            <w:vAlign w:val="center"/>
          </w:tcPr>
          <w:p w:rsidR="00E579CB" w:rsidRPr="00E579CB" w:rsidRDefault="00E579CB" w:rsidP="00E579CB">
            <w:pPr>
              <w:spacing w:after="40" w:line="260" w:lineRule="atLeast"/>
              <w:ind w:left="-108"/>
              <w:rPr>
                <w:rFonts w:cs="Arial"/>
                <w:color w:val="000000"/>
                <w:szCs w:val="21"/>
                <w:lang w:val="en-US"/>
              </w:rPr>
            </w:pPr>
          </w:p>
        </w:tc>
        <w:tc>
          <w:tcPr>
            <w:tcW w:w="1235"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c>
          <w:tcPr>
            <w:tcW w:w="940" w:type="dxa"/>
            <w:gridSpan w:val="2"/>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r>
      <w:tr w:rsidR="00E579CB" w:rsidRPr="00E579CB" w:rsidTr="00E579CB">
        <w:trPr>
          <w:trHeight w:val="315"/>
        </w:trPr>
        <w:tc>
          <w:tcPr>
            <w:tcW w:w="2973" w:type="dxa"/>
            <w:shd w:val="clear" w:color="auto" w:fill="auto"/>
            <w:vAlign w:val="center"/>
          </w:tcPr>
          <w:p w:rsidR="00E579CB" w:rsidRPr="00E579CB" w:rsidRDefault="00E579CB" w:rsidP="00E579CB">
            <w:pPr>
              <w:spacing w:after="40" w:line="260" w:lineRule="atLeast"/>
              <w:rPr>
                <w:rFonts w:cs="Arial"/>
                <w:b/>
                <w:color w:val="000000"/>
                <w:szCs w:val="21"/>
                <w:lang w:val="en-US"/>
              </w:rPr>
            </w:pPr>
          </w:p>
        </w:tc>
        <w:tc>
          <w:tcPr>
            <w:tcW w:w="1384" w:type="dxa"/>
            <w:tcBorders>
              <w:bottom w:val="single" w:sz="4" w:space="0" w:color="auto"/>
            </w:tcBorders>
            <w:vAlign w:val="center"/>
          </w:tcPr>
          <w:p w:rsidR="00E579CB" w:rsidRPr="00E579CB" w:rsidRDefault="00E579CB" w:rsidP="00E579CB">
            <w:pPr>
              <w:spacing w:after="40" w:line="260" w:lineRule="atLeast"/>
              <w:jc w:val="center"/>
              <w:rPr>
                <w:rFonts w:cs="Arial"/>
                <w:color w:val="000000"/>
                <w:szCs w:val="21"/>
                <w:lang w:val="en-US"/>
              </w:rPr>
            </w:pPr>
            <w:r w:rsidRPr="00E579CB">
              <w:rPr>
                <w:rFonts w:cs="Arial"/>
                <w:color w:val="000000"/>
                <w:szCs w:val="21"/>
                <w:lang w:val="en-US"/>
              </w:rPr>
              <w:t>Computer Equipment</w:t>
            </w:r>
          </w:p>
          <w:p w:rsidR="00E579CB" w:rsidRPr="00E579CB" w:rsidRDefault="00E579CB" w:rsidP="00E579CB">
            <w:pPr>
              <w:spacing w:after="40" w:line="260" w:lineRule="atLeast"/>
              <w:jc w:val="center"/>
              <w:rPr>
                <w:rFonts w:cs="Arial"/>
                <w:color w:val="000000"/>
                <w:szCs w:val="21"/>
                <w:lang w:val="en-US"/>
              </w:rPr>
            </w:pPr>
            <w:r w:rsidRPr="00E579CB">
              <w:rPr>
                <w:rFonts w:cs="Arial"/>
                <w:color w:val="000000"/>
                <w:szCs w:val="21"/>
                <w:lang w:val="en-US"/>
              </w:rPr>
              <w:t>$</w:t>
            </w:r>
          </w:p>
        </w:tc>
        <w:tc>
          <w:tcPr>
            <w:tcW w:w="1279" w:type="dxa"/>
            <w:tcBorders>
              <w:bottom w:val="single" w:sz="4" w:space="0" w:color="auto"/>
            </w:tcBorders>
            <w:vAlign w:val="center"/>
          </w:tcPr>
          <w:p w:rsidR="00E579CB" w:rsidRPr="00E579CB" w:rsidRDefault="00E579CB" w:rsidP="00E579CB">
            <w:pPr>
              <w:spacing w:after="40" w:line="260" w:lineRule="atLeast"/>
              <w:jc w:val="center"/>
              <w:rPr>
                <w:rFonts w:cs="Arial"/>
                <w:color w:val="000000"/>
                <w:szCs w:val="21"/>
                <w:lang w:val="en-US"/>
              </w:rPr>
            </w:pPr>
            <w:r w:rsidRPr="00E579CB">
              <w:rPr>
                <w:rFonts w:cs="Arial"/>
                <w:color w:val="000000"/>
                <w:szCs w:val="21"/>
                <w:lang w:val="en-US"/>
              </w:rPr>
              <w:t>Furniture &amp; Fittings</w:t>
            </w:r>
          </w:p>
          <w:p w:rsidR="00E579CB" w:rsidRPr="00E579CB" w:rsidRDefault="00E579CB" w:rsidP="00E579CB">
            <w:pPr>
              <w:spacing w:after="40" w:line="260" w:lineRule="atLeast"/>
              <w:jc w:val="center"/>
              <w:rPr>
                <w:rFonts w:cs="Arial"/>
                <w:color w:val="000000"/>
                <w:szCs w:val="21"/>
                <w:lang w:val="en-US"/>
              </w:rPr>
            </w:pPr>
            <w:r w:rsidRPr="00E579CB">
              <w:rPr>
                <w:rFonts w:cs="Arial"/>
                <w:color w:val="000000"/>
                <w:szCs w:val="21"/>
                <w:lang w:val="en-US"/>
              </w:rPr>
              <w:t>$</w:t>
            </w:r>
          </w:p>
        </w:tc>
        <w:tc>
          <w:tcPr>
            <w:tcW w:w="1594" w:type="dxa"/>
            <w:gridSpan w:val="3"/>
            <w:tcBorders>
              <w:bottom w:val="single" w:sz="4" w:space="0" w:color="auto"/>
            </w:tcBorders>
            <w:vAlign w:val="center"/>
          </w:tcPr>
          <w:p w:rsidR="00E579CB" w:rsidRPr="00E579CB" w:rsidRDefault="00E579CB" w:rsidP="00E579CB">
            <w:pPr>
              <w:spacing w:after="40" w:line="260" w:lineRule="atLeast"/>
              <w:jc w:val="center"/>
              <w:rPr>
                <w:rFonts w:cs="Arial"/>
                <w:color w:val="000000"/>
                <w:szCs w:val="21"/>
                <w:lang w:val="en-US"/>
              </w:rPr>
            </w:pPr>
            <w:r w:rsidRPr="00E579CB">
              <w:rPr>
                <w:rFonts w:cs="Arial"/>
                <w:color w:val="000000"/>
                <w:szCs w:val="21"/>
                <w:lang w:val="en-US"/>
              </w:rPr>
              <w:t>Rapid Housing</w:t>
            </w:r>
          </w:p>
          <w:p w:rsidR="00E579CB" w:rsidRPr="00E579CB" w:rsidRDefault="00E579CB" w:rsidP="00E579CB">
            <w:pPr>
              <w:spacing w:after="40" w:line="260" w:lineRule="atLeast"/>
              <w:jc w:val="center"/>
              <w:rPr>
                <w:rFonts w:cs="Arial"/>
                <w:color w:val="000000"/>
                <w:szCs w:val="21"/>
                <w:lang w:val="en-US"/>
              </w:rPr>
            </w:pPr>
            <w:r w:rsidRPr="00E579CB">
              <w:rPr>
                <w:rFonts w:cs="Arial"/>
                <w:color w:val="000000"/>
                <w:szCs w:val="21"/>
                <w:lang w:val="en-US"/>
              </w:rPr>
              <w:t>(under construction)</w:t>
            </w:r>
          </w:p>
          <w:p w:rsidR="00E579CB" w:rsidRPr="00E579CB" w:rsidRDefault="00E579CB" w:rsidP="00E579CB">
            <w:pPr>
              <w:spacing w:after="40" w:line="260" w:lineRule="atLeast"/>
              <w:jc w:val="center"/>
              <w:rPr>
                <w:rFonts w:cs="Arial"/>
                <w:color w:val="000000"/>
                <w:szCs w:val="21"/>
                <w:lang w:val="en-US"/>
              </w:rPr>
            </w:pPr>
            <w:r w:rsidRPr="00E579CB">
              <w:rPr>
                <w:rFonts w:cs="Arial"/>
                <w:color w:val="000000"/>
                <w:szCs w:val="21"/>
                <w:lang w:val="en-US"/>
              </w:rPr>
              <w:t>$</w:t>
            </w:r>
          </w:p>
        </w:tc>
        <w:tc>
          <w:tcPr>
            <w:tcW w:w="1134" w:type="dxa"/>
            <w:gridSpan w:val="2"/>
            <w:tcBorders>
              <w:bottom w:val="single" w:sz="4" w:space="0" w:color="auto"/>
            </w:tcBorders>
            <w:vAlign w:val="center"/>
          </w:tcPr>
          <w:p w:rsidR="00E579CB" w:rsidRPr="00E579CB" w:rsidRDefault="00E579CB" w:rsidP="00E579CB">
            <w:pPr>
              <w:spacing w:after="40" w:line="260" w:lineRule="atLeast"/>
              <w:jc w:val="center"/>
              <w:rPr>
                <w:rFonts w:cs="Arial"/>
                <w:color w:val="000000"/>
                <w:szCs w:val="21"/>
                <w:lang w:val="en-US"/>
              </w:rPr>
            </w:pPr>
            <w:r w:rsidRPr="00E579CB">
              <w:rPr>
                <w:rFonts w:cs="Arial"/>
                <w:color w:val="000000"/>
                <w:szCs w:val="21"/>
                <w:lang w:val="en-US"/>
              </w:rPr>
              <w:t>Total</w:t>
            </w:r>
          </w:p>
          <w:p w:rsidR="00E579CB" w:rsidRPr="00E579CB" w:rsidRDefault="00E579CB" w:rsidP="00E579CB">
            <w:pPr>
              <w:spacing w:after="40" w:line="260" w:lineRule="atLeast"/>
              <w:jc w:val="center"/>
              <w:rPr>
                <w:rFonts w:cs="Arial"/>
                <w:color w:val="000000"/>
                <w:szCs w:val="21"/>
                <w:lang w:val="en-US"/>
              </w:rPr>
            </w:pPr>
            <w:r w:rsidRPr="00E579CB">
              <w:rPr>
                <w:rFonts w:cs="Arial"/>
                <w:color w:val="000000"/>
                <w:szCs w:val="21"/>
                <w:lang w:val="en-US"/>
              </w:rPr>
              <w:t>$</w:t>
            </w:r>
          </w:p>
        </w:tc>
      </w:tr>
      <w:tr w:rsidR="00E579CB" w:rsidRPr="00E579CB" w:rsidTr="00E579CB">
        <w:trPr>
          <w:trHeight w:val="315"/>
        </w:trPr>
        <w:tc>
          <w:tcPr>
            <w:tcW w:w="2973" w:type="dxa"/>
            <w:shd w:val="clear" w:color="auto" w:fill="auto"/>
            <w:vAlign w:val="center"/>
          </w:tcPr>
          <w:p w:rsidR="00E579CB" w:rsidRPr="00E579CB" w:rsidRDefault="00E579CB" w:rsidP="00E579CB">
            <w:pPr>
              <w:spacing w:after="40" w:line="260" w:lineRule="atLeast"/>
              <w:rPr>
                <w:rFonts w:cs="Arial"/>
                <w:b/>
                <w:color w:val="000000"/>
                <w:szCs w:val="21"/>
                <w:lang w:val="en-US"/>
              </w:rPr>
            </w:pPr>
            <w:r w:rsidRPr="00E579CB">
              <w:rPr>
                <w:rFonts w:cs="Arial"/>
                <w:b/>
                <w:color w:val="000000"/>
                <w:szCs w:val="21"/>
                <w:lang w:val="en-US"/>
              </w:rPr>
              <w:t>Carrying Amount as at 30 June 2018</w:t>
            </w:r>
          </w:p>
        </w:tc>
        <w:tc>
          <w:tcPr>
            <w:tcW w:w="1384" w:type="dxa"/>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46,712</w:t>
            </w:r>
          </w:p>
        </w:tc>
        <w:tc>
          <w:tcPr>
            <w:tcW w:w="1279" w:type="dxa"/>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37,001</w:t>
            </w:r>
          </w:p>
        </w:tc>
        <w:tc>
          <w:tcPr>
            <w:tcW w:w="1594" w:type="dxa"/>
            <w:gridSpan w:val="3"/>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w:t>
            </w:r>
          </w:p>
        </w:tc>
        <w:tc>
          <w:tcPr>
            <w:tcW w:w="1134" w:type="dxa"/>
            <w:gridSpan w:val="2"/>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83,713</w:t>
            </w:r>
          </w:p>
        </w:tc>
      </w:tr>
      <w:tr w:rsidR="00E579CB" w:rsidRPr="00E579CB" w:rsidTr="00E579CB">
        <w:trPr>
          <w:trHeight w:val="315"/>
        </w:trPr>
        <w:tc>
          <w:tcPr>
            <w:tcW w:w="2973" w:type="dxa"/>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Additions</w:t>
            </w:r>
          </w:p>
        </w:tc>
        <w:tc>
          <w:tcPr>
            <w:tcW w:w="1384" w:type="dxa"/>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74,882</w:t>
            </w:r>
          </w:p>
        </w:tc>
        <w:tc>
          <w:tcPr>
            <w:tcW w:w="1279" w:type="dxa"/>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6,485</w:t>
            </w:r>
          </w:p>
        </w:tc>
        <w:tc>
          <w:tcPr>
            <w:tcW w:w="1594" w:type="dxa"/>
            <w:gridSpan w:val="3"/>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161,228</w:t>
            </w:r>
          </w:p>
        </w:tc>
        <w:tc>
          <w:tcPr>
            <w:tcW w:w="1134" w:type="dxa"/>
            <w:gridSpan w:val="2"/>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242,595</w:t>
            </w:r>
          </w:p>
        </w:tc>
      </w:tr>
      <w:tr w:rsidR="00E579CB" w:rsidRPr="00E579CB" w:rsidTr="00E579CB">
        <w:trPr>
          <w:trHeight w:val="315"/>
        </w:trPr>
        <w:tc>
          <w:tcPr>
            <w:tcW w:w="2973" w:type="dxa"/>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Disposals</w:t>
            </w:r>
          </w:p>
        </w:tc>
        <w:tc>
          <w:tcPr>
            <w:tcW w:w="1384" w:type="dxa"/>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(4,719)</w:t>
            </w:r>
          </w:p>
        </w:tc>
        <w:tc>
          <w:tcPr>
            <w:tcW w:w="1279" w:type="dxa"/>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w:t>
            </w:r>
          </w:p>
        </w:tc>
        <w:tc>
          <w:tcPr>
            <w:tcW w:w="1594" w:type="dxa"/>
            <w:gridSpan w:val="3"/>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w:t>
            </w:r>
          </w:p>
        </w:tc>
        <w:tc>
          <w:tcPr>
            <w:tcW w:w="1134" w:type="dxa"/>
            <w:gridSpan w:val="2"/>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(4,719)</w:t>
            </w:r>
          </w:p>
        </w:tc>
      </w:tr>
      <w:tr w:rsidR="00E579CB" w:rsidRPr="00E579CB" w:rsidTr="00E579CB">
        <w:trPr>
          <w:trHeight w:val="315"/>
        </w:trPr>
        <w:tc>
          <w:tcPr>
            <w:tcW w:w="2973" w:type="dxa"/>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Depreciation Expense</w:t>
            </w:r>
          </w:p>
        </w:tc>
        <w:tc>
          <w:tcPr>
            <w:tcW w:w="1384" w:type="dxa"/>
            <w:tcBorders>
              <w:bottom w:val="single" w:sz="4" w:space="0" w:color="auto"/>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(32,188)</w:t>
            </w:r>
          </w:p>
        </w:tc>
        <w:tc>
          <w:tcPr>
            <w:tcW w:w="1279" w:type="dxa"/>
            <w:tcBorders>
              <w:bottom w:val="single" w:sz="4" w:space="0" w:color="auto"/>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(5,462)</w:t>
            </w:r>
          </w:p>
        </w:tc>
        <w:tc>
          <w:tcPr>
            <w:tcW w:w="1594" w:type="dxa"/>
            <w:gridSpan w:val="3"/>
            <w:tcBorders>
              <w:bottom w:val="single" w:sz="4" w:space="0" w:color="auto"/>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w:t>
            </w:r>
          </w:p>
        </w:tc>
        <w:tc>
          <w:tcPr>
            <w:tcW w:w="1134" w:type="dxa"/>
            <w:gridSpan w:val="2"/>
            <w:tcBorders>
              <w:bottom w:val="single" w:sz="4" w:space="0" w:color="auto"/>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(37,650)</w:t>
            </w:r>
          </w:p>
        </w:tc>
      </w:tr>
      <w:tr w:rsidR="00E579CB" w:rsidRPr="00E579CB" w:rsidTr="00E579CB">
        <w:trPr>
          <w:trHeight w:val="315"/>
        </w:trPr>
        <w:tc>
          <w:tcPr>
            <w:tcW w:w="2973" w:type="dxa"/>
            <w:shd w:val="clear" w:color="auto" w:fill="auto"/>
            <w:vAlign w:val="center"/>
          </w:tcPr>
          <w:p w:rsidR="00E579CB" w:rsidRPr="00E579CB" w:rsidRDefault="00E579CB" w:rsidP="00E579CB">
            <w:pPr>
              <w:spacing w:after="40" w:line="260" w:lineRule="atLeast"/>
              <w:rPr>
                <w:rFonts w:cs="Arial"/>
                <w:b/>
                <w:color w:val="000000"/>
                <w:szCs w:val="21"/>
                <w:lang w:val="en-US"/>
              </w:rPr>
            </w:pPr>
            <w:r w:rsidRPr="00E579CB">
              <w:rPr>
                <w:rFonts w:cs="Arial"/>
                <w:b/>
                <w:color w:val="000000"/>
                <w:szCs w:val="21"/>
                <w:lang w:val="en-US"/>
              </w:rPr>
              <w:t>Carrying Amount as at 30 June 2019</w:t>
            </w:r>
          </w:p>
        </w:tc>
        <w:tc>
          <w:tcPr>
            <w:tcW w:w="1384" w:type="dxa"/>
            <w:tcBorders>
              <w:top w:val="single" w:sz="4" w:space="0" w:color="auto"/>
              <w:bottom w:val="double" w:sz="4" w:space="0" w:color="auto"/>
            </w:tcBorders>
            <w:vAlign w:val="bottom"/>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84,687</w:t>
            </w:r>
          </w:p>
        </w:tc>
        <w:tc>
          <w:tcPr>
            <w:tcW w:w="1279" w:type="dxa"/>
            <w:tcBorders>
              <w:top w:val="single" w:sz="4" w:space="0" w:color="auto"/>
              <w:bottom w:val="double" w:sz="4" w:space="0" w:color="auto"/>
            </w:tcBorders>
            <w:vAlign w:val="bottom"/>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38,024</w:t>
            </w:r>
          </w:p>
        </w:tc>
        <w:tc>
          <w:tcPr>
            <w:tcW w:w="1594" w:type="dxa"/>
            <w:gridSpan w:val="3"/>
            <w:tcBorders>
              <w:top w:val="single" w:sz="4" w:space="0" w:color="auto"/>
              <w:bottom w:val="double" w:sz="4" w:space="0" w:color="auto"/>
            </w:tcBorders>
            <w:vAlign w:val="bottom"/>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161,228</w:t>
            </w:r>
          </w:p>
        </w:tc>
        <w:tc>
          <w:tcPr>
            <w:tcW w:w="1134" w:type="dxa"/>
            <w:gridSpan w:val="2"/>
            <w:tcBorders>
              <w:top w:val="single" w:sz="4" w:space="0" w:color="auto"/>
              <w:bottom w:val="double" w:sz="4" w:space="0" w:color="auto"/>
            </w:tcBorders>
            <w:vAlign w:val="bottom"/>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283,939</w:t>
            </w:r>
          </w:p>
        </w:tc>
      </w:tr>
      <w:tr w:rsidR="00E579CB" w:rsidRPr="00E579CB" w:rsidTr="00E579CB">
        <w:trPr>
          <w:gridAfter w:val="1"/>
          <w:wAfter w:w="456" w:type="dxa"/>
          <w:trHeight w:val="315"/>
        </w:trPr>
        <w:tc>
          <w:tcPr>
            <w:tcW w:w="2973" w:type="dxa"/>
            <w:shd w:val="clear" w:color="auto" w:fill="auto"/>
            <w:vAlign w:val="center"/>
          </w:tcPr>
          <w:p w:rsidR="00E579CB" w:rsidRPr="00E579CB" w:rsidRDefault="00E579CB" w:rsidP="00E579CB">
            <w:pPr>
              <w:spacing w:after="40" w:line="260" w:lineRule="atLeast"/>
              <w:rPr>
                <w:rFonts w:cs="Arial"/>
                <w:b/>
                <w:color w:val="000000"/>
                <w:szCs w:val="21"/>
                <w:lang w:val="en-US"/>
              </w:rPr>
            </w:pPr>
          </w:p>
        </w:tc>
        <w:tc>
          <w:tcPr>
            <w:tcW w:w="1384" w:type="dxa"/>
            <w:tcBorders>
              <w:top w:val="double" w:sz="4" w:space="0" w:color="auto"/>
            </w:tcBorders>
            <w:vAlign w:val="bottom"/>
          </w:tcPr>
          <w:p w:rsidR="00E579CB" w:rsidRPr="00E579CB" w:rsidRDefault="00E579CB" w:rsidP="00E579CB">
            <w:pPr>
              <w:spacing w:after="40" w:line="260" w:lineRule="atLeast"/>
              <w:jc w:val="right"/>
              <w:rPr>
                <w:rFonts w:cs="Arial"/>
                <w:color w:val="000000"/>
                <w:szCs w:val="21"/>
                <w:lang w:val="en-US"/>
              </w:rPr>
            </w:pPr>
          </w:p>
        </w:tc>
        <w:tc>
          <w:tcPr>
            <w:tcW w:w="1279" w:type="dxa"/>
            <w:tcBorders>
              <w:top w:val="double" w:sz="4" w:space="0" w:color="auto"/>
            </w:tcBorders>
            <w:vAlign w:val="bottom"/>
          </w:tcPr>
          <w:p w:rsidR="00E579CB" w:rsidRPr="00E579CB" w:rsidRDefault="00E579CB" w:rsidP="00E579CB">
            <w:pPr>
              <w:spacing w:after="40" w:line="260" w:lineRule="atLeast"/>
              <w:jc w:val="right"/>
              <w:rPr>
                <w:rFonts w:cs="Arial"/>
                <w:color w:val="000000"/>
                <w:szCs w:val="21"/>
                <w:lang w:val="en-US"/>
              </w:rPr>
            </w:pPr>
          </w:p>
        </w:tc>
        <w:tc>
          <w:tcPr>
            <w:tcW w:w="1594" w:type="dxa"/>
            <w:gridSpan w:val="3"/>
            <w:tcBorders>
              <w:top w:val="double" w:sz="4" w:space="0" w:color="auto"/>
            </w:tcBorders>
          </w:tcPr>
          <w:p w:rsidR="00E579CB" w:rsidRPr="00E579CB" w:rsidRDefault="00E579CB" w:rsidP="00E579CB">
            <w:pPr>
              <w:spacing w:after="40" w:line="260" w:lineRule="atLeast"/>
              <w:jc w:val="right"/>
              <w:rPr>
                <w:rFonts w:cs="Arial"/>
                <w:color w:val="000000"/>
                <w:szCs w:val="21"/>
                <w:lang w:val="en-US"/>
              </w:rPr>
            </w:pPr>
          </w:p>
        </w:tc>
        <w:tc>
          <w:tcPr>
            <w:tcW w:w="678" w:type="dxa"/>
            <w:tcBorders>
              <w:top w:val="double" w:sz="4" w:space="0" w:color="auto"/>
            </w:tcBorders>
            <w:vAlign w:val="bottom"/>
          </w:tcPr>
          <w:p w:rsidR="00E579CB" w:rsidRPr="00E579CB" w:rsidRDefault="00E579CB" w:rsidP="00E579CB">
            <w:pPr>
              <w:spacing w:after="40" w:line="260" w:lineRule="atLeast"/>
              <w:jc w:val="right"/>
              <w:rPr>
                <w:rFonts w:cs="Arial"/>
                <w:color w:val="000000"/>
                <w:szCs w:val="21"/>
                <w:lang w:val="en-US"/>
              </w:rPr>
            </w:pPr>
          </w:p>
        </w:tc>
      </w:tr>
    </w:tbl>
    <w:p w:rsidR="00E579CB" w:rsidRPr="00E579CB" w:rsidRDefault="00E579CB" w:rsidP="00E579CB">
      <w:pPr>
        <w:rPr>
          <w:rFonts w:cs="Arial"/>
          <w:szCs w:val="21"/>
        </w:rPr>
      </w:pPr>
    </w:p>
    <w:tbl>
      <w:tblPr>
        <w:tblW w:w="8863" w:type="dxa"/>
        <w:tblLayout w:type="fixed"/>
        <w:tblCellMar>
          <w:left w:w="0" w:type="dxa"/>
          <w:right w:w="0" w:type="dxa"/>
        </w:tblCellMar>
        <w:tblLook w:val="0000" w:firstRow="0" w:lastRow="0" w:firstColumn="0" w:lastColumn="0" w:noHBand="0" w:noVBand="0"/>
      </w:tblPr>
      <w:tblGrid>
        <w:gridCol w:w="6451"/>
        <w:gridCol w:w="1136"/>
        <w:gridCol w:w="195"/>
        <w:gridCol w:w="1081"/>
      </w:tblGrid>
      <w:tr w:rsidR="00E579CB" w:rsidRPr="00E579CB" w:rsidTr="00E579CB">
        <w:trPr>
          <w:gridAfter w:val="1"/>
          <w:wAfter w:w="1081" w:type="dxa"/>
        </w:trPr>
        <w:tc>
          <w:tcPr>
            <w:tcW w:w="7782" w:type="dxa"/>
            <w:gridSpan w:val="3"/>
            <w:tcBorders>
              <w:top w:val="nil"/>
              <w:left w:val="nil"/>
              <w:bottom w:val="nil"/>
              <w:right w:val="nil"/>
            </w:tcBorders>
          </w:tcPr>
          <w:p w:rsidR="00685439" w:rsidRDefault="00685439" w:rsidP="00E579CB">
            <w:pPr>
              <w:pStyle w:val="Heading-Note"/>
              <w:spacing w:before="0" w:after="40" w:line="260" w:lineRule="atLeast"/>
              <w:rPr>
                <w:rFonts w:ascii="Helvetica Neue" w:hAnsi="Helvetica Neue" w:cs="Arial"/>
                <w:sz w:val="21"/>
                <w:szCs w:val="21"/>
              </w:rPr>
            </w:pPr>
          </w:p>
          <w:p w:rsidR="00685439" w:rsidRDefault="00685439" w:rsidP="00E579CB">
            <w:pPr>
              <w:pStyle w:val="Heading-Note"/>
              <w:spacing w:before="0" w:after="40" w:line="260" w:lineRule="atLeast"/>
              <w:rPr>
                <w:rFonts w:ascii="Helvetica Neue" w:hAnsi="Helvetica Neue" w:cs="Arial"/>
                <w:sz w:val="21"/>
                <w:szCs w:val="21"/>
              </w:rPr>
            </w:pPr>
          </w:p>
          <w:p w:rsidR="00685439" w:rsidRDefault="00685439" w:rsidP="00E579CB">
            <w:pPr>
              <w:pStyle w:val="Heading-Note"/>
              <w:spacing w:before="0" w:after="40" w:line="260" w:lineRule="atLeast"/>
              <w:rPr>
                <w:rFonts w:ascii="Helvetica Neue" w:hAnsi="Helvetica Neue" w:cs="Arial"/>
                <w:sz w:val="21"/>
                <w:szCs w:val="21"/>
              </w:rPr>
            </w:pPr>
          </w:p>
          <w:p w:rsidR="00685439" w:rsidRDefault="00685439" w:rsidP="00E579CB">
            <w:pPr>
              <w:pStyle w:val="Heading-Note"/>
              <w:spacing w:before="0" w:after="40" w:line="260" w:lineRule="atLeast"/>
              <w:rPr>
                <w:rFonts w:ascii="Helvetica Neue" w:hAnsi="Helvetica Neue" w:cs="Arial"/>
                <w:sz w:val="21"/>
                <w:szCs w:val="21"/>
              </w:rPr>
            </w:pPr>
          </w:p>
          <w:p w:rsidR="00685439" w:rsidRDefault="00685439" w:rsidP="00E579CB">
            <w:pPr>
              <w:pStyle w:val="Heading-Note"/>
              <w:spacing w:before="0" w:after="40" w:line="260" w:lineRule="atLeast"/>
              <w:rPr>
                <w:rFonts w:ascii="Helvetica Neue" w:hAnsi="Helvetica Neue" w:cs="Arial"/>
                <w:sz w:val="21"/>
                <w:szCs w:val="21"/>
              </w:rPr>
            </w:pPr>
          </w:p>
          <w:p w:rsidR="00685439" w:rsidRDefault="00685439" w:rsidP="00E579CB">
            <w:pPr>
              <w:pStyle w:val="Heading-Note"/>
              <w:spacing w:before="0" w:after="40" w:line="260" w:lineRule="atLeast"/>
              <w:rPr>
                <w:rFonts w:ascii="Helvetica Neue" w:hAnsi="Helvetica Neue" w:cs="Arial"/>
                <w:sz w:val="21"/>
                <w:szCs w:val="21"/>
              </w:rPr>
            </w:pPr>
          </w:p>
          <w:p w:rsidR="00685439" w:rsidRDefault="00685439" w:rsidP="00E579CB">
            <w:pPr>
              <w:pStyle w:val="Heading-Note"/>
              <w:spacing w:before="0" w:after="40" w:line="260" w:lineRule="atLeast"/>
              <w:rPr>
                <w:rFonts w:ascii="Helvetica Neue" w:hAnsi="Helvetica Neue" w:cs="Arial"/>
                <w:sz w:val="21"/>
                <w:szCs w:val="21"/>
              </w:rPr>
            </w:pPr>
          </w:p>
          <w:p w:rsidR="00685439" w:rsidRDefault="00685439" w:rsidP="00E579CB">
            <w:pPr>
              <w:pStyle w:val="Heading-Note"/>
              <w:spacing w:before="0" w:after="40" w:line="260" w:lineRule="atLeast"/>
              <w:rPr>
                <w:rFonts w:ascii="Helvetica Neue" w:hAnsi="Helvetica Neue" w:cs="Arial"/>
                <w:sz w:val="21"/>
                <w:szCs w:val="21"/>
              </w:rPr>
            </w:pPr>
          </w:p>
          <w:p w:rsidR="00685439" w:rsidRDefault="00685439" w:rsidP="00E579CB">
            <w:pPr>
              <w:pStyle w:val="Heading-Note"/>
              <w:spacing w:before="0" w:after="40" w:line="260" w:lineRule="atLeast"/>
              <w:rPr>
                <w:rFonts w:ascii="Helvetica Neue" w:hAnsi="Helvetica Neue" w:cs="Arial"/>
                <w:sz w:val="21"/>
                <w:szCs w:val="21"/>
              </w:rPr>
            </w:pPr>
          </w:p>
          <w:p w:rsidR="00685439" w:rsidRDefault="00685439" w:rsidP="00E579CB">
            <w:pPr>
              <w:pStyle w:val="Heading-Note"/>
              <w:spacing w:before="0" w:after="40" w:line="260" w:lineRule="atLeast"/>
              <w:rPr>
                <w:rFonts w:ascii="Helvetica Neue" w:hAnsi="Helvetica Neue" w:cs="Arial"/>
                <w:sz w:val="21"/>
                <w:szCs w:val="21"/>
              </w:rPr>
            </w:pPr>
          </w:p>
          <w:p w:rsidR="00685439" w:rsidRDefault="00685439" w:rsidP="00E579CB">
            <w:pPr>
              <w:pStyle w:val="Heading-Note"/>
              <w:spacing w:before="0" w:after="40" w:line="260" w:lineRule="atLeast"/>
              <w:rPr>
                <w:rFonts w:ascii="Helvetica Neue" w:hAnsi="Helvetica Neue" w:cs="Arial"/>
                <w:sz w:val="21"/>
                <w:szCs w:val="21"/>
              </w:rPr>
            </w:pPr>
          </w:p>
          <w:p w:rsidR="00685439" w:rsidRDefault="00685439" w:rsidP="00E579CB">
            <w:pPr>
              <w:pStyle w:val="Heading-Note"/>
              <w:spacing w:before="0" w:after="40" w:line="260" w:lineRule="atLeast"/>
              <w:rPr>
                <w:rFonts w:ascii="Helvetica Neue" w:hAnsi="Helvetica Neue" w:cs="Arial"/>
                <w:sz w:val="21"/>
                <w:szCs w:val="21"/>
              </w:rPr>
            </w:pPr>
          </w:p>
          <w:p w:rsidR="00685439" w:rsidRDefault="00685439" w:rsidP="00E579CB">
            <w:pPr>
              <w:pStyle w:val="Heading-Note"/>
              <w:spacing w:before="0" w:after="40" w:line="260" w:lineRule="atLeast"/>
              <w:rPr>
                <w:rFonts w:ascii="Helvetica Neue" w:hAnsi="Helvetica Neue" w:cs="Arial"/>
                <w:sz w:val="21"/>
                <w:szCs w:val="21"/>
              </w:rPr>
            </w:pPr>
          </w:p>
          <w:p w:rsidR="00E579CB" w:rsidRPr="00E579CB" w:rsidRDefault="00E579CB" w:rsidP="00E579CB">
            <w:pPr>
              <w:pStyle w:val="Heading-Note"/>
              <w:spacing w:before="0" w:after="40" w:line="260" w:lineRule="atLeast"/>
              <w:rPr>
                <w:rFonts w:ascii="Helvetica Neue" w:hAnsi="Helvetica Neue" w:cs="Arial"/>
                <w:sz w:val="21"/>
                <w:szCs w:val="21"/>
              </w:rPr>
            </w:pPr>
            <w:r w:rsidRPr="00E579CB">
              <w:rPr>
                <w:rFonts w:ascii="Helvetica Neue" w:hAnsi="Helvetica Neue" w:cs="Arial"/>
                <w:sz w:val="21"/>
                <w:szCs w:val="21"/>
              </w:rPr>
              <w:lastRenderedPageBreak/>
              <w:t>7 Non-current assets – Intangible assets</w:t>
            </w:r>
          </w:p>
        </w:tc>
      </w:tr>
      <w:tr w:rsidR="00E579CB" w:rsidRPr="00E579CB" w:rsidTr="00E579CB">
        <w:tblPrEx>
          <w:tblCellMar>
            <w:left w:w="108" w:type="dxa"/>
            <w:right w:w="108" w:type="dxa"/>
          </w:tblCellMar>
        </w:tblPrEx>
        <w:trPr>
          <w:trHeight w:val="255"/>
        </w:trPr>
        <w:tc>
          <w:tcPr>
            <w:tcW w:w="6451" w:type="dxa"/>
            <w:vMerge w:val="restart"/>
            <w:tcBorders>
              <w:top w:val="nil"/>
              <w:left w:val="nil"/>
              <w:bottom w:val="nil"/>
              <w:right w:val="nil"/>
            </w:tcBorders>
            <w:shd w:val="clear" w:color="auto" w:fill="auto"/>
          </w:tcPr>
          <w:p w:rsidR="00E579CB" w:rsidRPr="00E579CB" w:rsidRDefault="00E579CB" w:rsidP="00E579CB">
            <w:pPr>
              <w:spacing w:after="40" w:line="260" w:lineRule="atLeast"/>
              <w:rPr>
                <w:rFonts w:cs="Arial"/>
                <w:b/>
                <w:bCs/>
                <w:color w:val="000000"/>
                <w:szCs w:val="21"/>
                <w:lang w:val="en-US"/>
              </w:rPr>
            </w:pPr>
          </w:p>
          <w:p w:rsidR="00E579CB" w:rsidRPr="00E579CB" w:rsidRDefault="00E579CB" w:rsidP="00E579CB">
            <w:pPr>
              <w:spacing w:after="40" w:line="260" w:lineRule="atLeast"/>
              <w:rPr>
                <w:rFonts w:cs="Arial"/>
                <w:b/>
                <w:bCs/>
                <w:color w:val="000000"/>
                <w:szCs w:val="21"/>
                <w:lang w:val="en-US"/>
              </w:rPr>
            </w:pPr>
            <w:r w:rsidRPr="00E579CB">
              <w:rPr>
                <w:rFonts w:cs="Arial"/>
                <w:b/>
                <w:bCs/>
                <w:color w:val="000000"/>
                <w:szCs w:val="21"/>
                <w:lang w:val="en-US"/>
              </w:rPr>
              <w:t xml:space="preserve">Software </w:t>
            </w:r>
          </w:p>
        </w:tc>
        <w:tc>
          <w:tcPr>
            <w:tcW w:w="1136" w:type="dxa"/>
            <w:tcBorders>
              <w:top w:val="nil"/>
              <w:left w:val="nil"/>
              <w:bottom w:val="nil"/>
              <w:right w:val="nil"/>
            </w:tcBorders>
          </w:tcPr>
          <w:p w:rsidR="00E579CB" w:rsidRPr="00E579CB" w:rsidRDefault="00E579CB" w:rsidP="00E579CB">
            <w:pPr>
              <w:spacing w:after="40" w:line="260" w:lineRule="atLeast"/>
              <w:jc w:val="center"/>
              <w:rPr>
                <w:rFonts w:cs="Arial"/>
                <w:b/>
                <w:bCs/>
                <w:color w:val="000000"/>
                <w:szCs w:val="21"/>
                <w:lang w:val="en-US"/>
              </w:rPr>
            </w:pPr>
            <w:r w:rsidRPr="00E579CB">
              <w:rPr>
                <w:rFonts w:cs="Arial"/>
                <w:b/>
                <w:bCs/>
                <w:color w:val="000000"/>
                <w:szCs w:val="21"/>
                <w:lang w:val="en-US"/>
              </w:rPr>
              <w:t>2019</w:t>
            </w:r>
          </w:p>
        </w:tc>
        <w:tc>
          <w:tcPr>
            <w:tcW w:w="1276" w:type="dxa"/>
            <w:gridSpan w:val="2"/>
            <w:tcBorders>
              <w:top w:val="nil"/>
              <w:left w:val="nil"/>
              <w:bottom w:val="nil"/>
              <w:right w:val="nil"/>
            </w:tcBorders>
          </w:tcPr>
          <w:p w:rsidR="00E579CB" w:rsidRPr="00E579CB" w:rsidRDefault="00E579CB" w:rsidP="00E579CB">
            <w:pPr>
              <w:spacing w:after="40" w:line="260" w:lineRule="atLeast"/>
              <w:jc w:val="center"/>
              <w:rPr>
                <w:rFonts w:cs="Arial"/>
                <w:b/>
                <w:bCs/>
                <w:color w:val="000000"/>
                <w:szCs w:val="21"/>
                <w:lang w:val="en-US"/>
              </w:rPr>
            </w:pPr>
            <w:r w:rsidRPr="00E579CB">
              <w:rPr>
                <w:rFonts w:cs="Arial"/>
                <w:b/>
                <w:bCs/>
                <w:color w:val="000000"/>
                <w:szCs w:val="21"/>
                <w:lang w:val="en-US"/>
              </w:rPr>
              <w:t>2018</w:t>
            </w:r>
          </w:p>
        </w:tc>
      </w:tr>
      <w:tr w:rsidR="00E579CB" w:rsidRPr="00E579CB" w:rsidTr="00E579CB">
        <w:tblPrEx>
          <w:tblCellMar>
            <w:left w:w="108" w:type="dxa"/>
            <w:right w:w="108" w:type="dxa"/>
          </w:tblCellMar>
        </w:tblPrEx>
        <w:trPr>
          <w:trHeight w:val="255"/>
        </w:trPr>
        <w:tc>
          <w:tcPr>
            <w:tcW w:w="6451" w:type="dxa"/>
            <w:vMerge/>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b/>
                <w:bCs/>
                <w:color w:val="000000"/>
                <w:szCs w:val="21"/>
                <w:lang w:val="en-US"/>
              </w:rPr>
            </w:pPr>
          </w:p>
        </w:tc>
        <w:tc>
          <w:tcPr>
            <w:tcW w:w="1136" w:type="dxa"/>
            <w:tcBorders>
              <w:top w:val="nil"/>
              <w:left w:val="nil"/>
              <w:bottom w:val="nil"/>
              <w:right w:val="nil"/>
            </w:tcBorders>
          </w:tcPr>
          <w:p w:rsidR="00E579CB" w:rsidRPr="00E579CB" w:rsidRDefault="00E579CB" w:rsidP="00E579CB">
            <w:pPr>
              <w:spacing w:after="40" w:line="260" w:lineRule="atLeast"/>
              <w:jc w:val="center"/>
              <w:rPr>
                <w:rFonts w:cs="Arial"/>
                <w:b/>
                <w:bCs/>
                <w:color w:val="000000"/>
                <w:szCs w:val="21"/>
                <w:lang w:val="en-US"/>
              </w:rPr>
            </w:pPr>
            <w:r w:rsidRPr="00E579CB">
              <w:rPr>
                <w:rFonts w:cs="Arial"/>
                <w:b/>
                <w:bCs/>
                <w:color w:val="000000"/>
                <w:szCs w:val="21"/>
                <w:lang w:val="en-US"/>
              </w:rPr>
              <w:t>$</w:t>
            </w:r>
          </w:p>
        </w:tc>
        <w:tc>
          <w:tcPr>
            <w:tcW w:w="1276" w:type="dxa"/>
            <w:gridSpan w:val="2"/>
            <w:tcBorders>
              <w:top w:val="nil"/>
              <w:left w:val="nil"/>
              <w:bottom w:val="nil"/>
              <w:right w:val="nil"/>
            </w:tcBorders>
          </w:tcPr>
          <w:p w:rsidR="00E579CB" w:rsidRPr="00E579CB" w:rsidRDefault="00E579CB" w:rsidP="00E579CB">
            <w:pPr>
              <w:spacing w:after="40" w:line="260" w:lineRule="atLeast"/>
              <w:jc w:val="center"/>
              <w:rPr>
                <w:rFonts w:cs="Arial"/>
                <w:b/>
                <w:bCs/>
                <w:color w:val="000000"/>
                <w:szCs w:val="21"/>
                <w:lang w:val="en-US"/>
              </w:rPr>
            </w:pPr>
            <w:r w:rsidRPr="00E579CB">
              <w:rPr>
                <w:rFonts w:cs="Arial"/>
                <w:b/>
                <w:bCs/>
                <w:color w:val="000000"/>
                <w:szCs w:val="21"/>
                <w:lang w:val="en-US"/>
              </w:rPr>
              <w:t>$</w:t>
            </w:r>
          </w:p>
        </w:tc>
      </w:tr>
      <w:tr w:rsidR="00E579CB" w:rsidRPr="00E579CB" w:rsidTr="00E579CB">
        <w:tblPrEx>
          <w:tblCellMar>
            <w:left w:w="108" w:type="dxa"/>
            <w:right w:w="108" w:type="dxa"/>
          </w:tblCellMar>
        </w:tblPrEx>
        <w:trPr>
          <w:trHeight w:val="315"/>
        </w:trPr>
        <w:tc>
          <w:tcPr>
            <w:tcW w:w="6451"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Software – at cost</w:t>
            </w:r>
          </w:p>
        </w:tc>
        <w:tc>
          <w:tcPr>
            <w:tcW w:w="1136" w:type="dxa"/>
            <w:tcBorders>
              <w:top w:val="nil"/>
              <w:left w:val="nil"/>
              <w:bottom w:val="nil"/>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33,603</w:t>
            </w:r>
          </w:p>
        </w:tc>
        <w:tc>
          <w:tcPr>
            <w:tcW w:w="1276" w:type="dxa"/>
            <w:gridSpan w:val="2"/>
            <w:tcBorders>
              <w:top w:val="nil"/>
              <w:left w:val="nil"/>
              <w:bottom w:val="nil"/>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25,285</w:t>
            </w:r>
          </w:p>
        </w:tc>
      </w:tr>
      <w:tr w:rsidR="00E579CB" w:rsidRPr="00E579CB" w:rsidTr="00E579CB">
        <w:tblPrEx>
          <w:tblCellMar>
            <w:left w:w="108" w:type="dxa"/>
            <w:right w:w="108" w:type="dxa"/>
          </w:tblCellMar>
        </w:tblPrEx>
        <w:trPr>
          <w:trHeight w:val="315"/>
        </w:trPr>
        <w:tc>
          <w:tcPr>
            <w:tcW w:w="6451"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 xml:space="preserve">Less: accumulated </w:t>
            </w:r>
            <w:proofErr w:type="spellStart"/>
            <w:r w:rsidRPr="00E579CB">
              <w:rPr>
                <w:rFonts w:cs="Arial"/>
                <w:color w:val="000000"/>
                <w:szCs w:val="21"/>
                <w:lang w:val="en-US"/>
              </w:rPr>
              <w:t>amortisation</w:t>
            </w:r>
            <w:proofErr w:type="spellEnd"/>
          </w:p>
        </w:tc>
        <w:tc>
          <w:tcPr>
            <w:tcW w:w="1136" w:type="dxa"/>
            <w:tcBorders>
              <w:top w:val="nil"/>
              <w:left w:val="nil"/>
              <w:bottom w:val="single" w:sz="4" w:space="0" w:color="auto"/>
              <w:right w:val="nil"/>
            </w:tcBorders>
            <w:vAlign w:val="center"/>
          </w:tcPr>
          <w:p w:rsidR="00E579CB" w:rsidRPr="00E579CB" w:rsidRDefault="00E579CB" w:rsidP="00E579CB">
            <w:pPr>
              <w:spacing w:after="40" w:line="260" w:lineRule="atLeast"/>
              <w:ind w:right="-106"/>
              <w:jc w:val="right"/>
              <w:rPr>
                <w:rFonts w:cs="Arial"/>
                <w:color w:val="000000"/>
                <w:szCs w:val="21"/>
                <w:lang w:val="en-US"/>
              </w:rPr>
            </w:pPr>
            <w:r w:rsidRPr="00E579CB">
              <w:rPr>
                <w:rFonts w:cs="Arial"/>
                <w:color w:val="000000"/>
                <w:szCs w:val="21"/>
                <w:lang w:val="en-US"/>
              </w:rPr>
              <w:t>(28,225)</w:t>
            </w:r>
          </w:p>
        </w:tc>
        <w:tc>
          <w:tcPr>
            <w:tcW w:w="1276" w:type="dxa"/>
            <w:gridSpan w:val="2"/>
            <w:tcBorders>
              <w:top w:val="nil"/>
              <w:left w:val="nil"/>
              <w:bottom w:val="single" w:sz="4" w:space="0" w:color="auto"/>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(24,323)</w:t>
            </w:r>
          </w:p>
        </w:tc>
      </w:tr>
      <w:tr w:rsidR="00E579CB" w:rsidRPr="00E579CB" w:rsidTr="00E579CB">
        <w:tblPrEx>
          <w:tblCellMar>
            <w:left w:w="108" w:type="dxa"/>
            <w:right w:w="108" w:type="dxa"/>
          </w:tblCellMar>
        </w:tblPrEx>
        <w:trPr>
          <w:trHeight w:val="315"/>
        </w:trPr>
        <w:tc>
          <w:tcPr>
            <w:tcW w:w="6451" w:type="dxa"/>
            <w:tcBorders>
              <w:top w:val="nil"/>
              <w:left w:val="nil"/>
              <w:bottom w:val="nil"/>
              <w:right w:val="nil"/>
            </w:tcBorders>
            <w:shd w:val="clear" w:color="auto" w:fill="auto"/>
            <w:vAlign w:val="center"/>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Total Intangible Assets</w:t>
            </w:r>
          </w:p>
        </w:tc>
        <w:tc>
          <w:tcPr>
            <w:tcW w:w="1136" w:type="dxa"/>
            <w:tcBorders>
              <w:top w:val="single" w:sz="4" w:space="0" w:color="auto"/>
              <w:left w:val="nil"/>
              <w:bottom w:val="double" w:sz="4" w:space="0" w:color="auto"/>
              <w:right w:val="nil"/>
            </w:tcBorders>
            <w:shd w:val="clear" w:color="auto" w:fill="auto"/>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5,378</w:t>
            </w:r>
          </w:p>
        </w:tc>
        <w:tc>
          <w:tcPr>
            <w:tcW w:w="1276" w:type="dxa"/>
            <w:gridSpan w:val="2"/>
            <w:tcBorders>
              <w:top w:val="single" w:sz="4" w:space="0" w:color="auto"/>
              <w:left w:val="nil"/>
              <w:bottom w:val="double" w:sz="4" w:space="0" w:color="auto"/>
              <w:right w:val="nil"/>
            </w:tcBorders>
            <w:shd w:val="clear" w:color="auto" w:fill="auto"/>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962</w:t>
            </w:r>
          </w:p>
        </w:tc>
      </w:tr>
    </w:tbl>
    <w:p w:rsidR="00E579CB" w:rsidRPr="00E579CB" w:rsidRDefault="00E579CB" w:rsidP="00E579CB">
      <w:pPr>
        <w:spacing w:after="0" w:line="240" w:lineRule="auto"/>
        <w:rPr>
          <w:rFonts w:cs="Arial"/>
          <w:b/>
          <w:bCs/>
          <w:color w:val="000000"/>
          <w:szCs w:val="21"/>
          <w:lang w:eastAsia="en-AU"/>
        </w:rPr>
      </w:pPr>
    </w:p>
    <w:tbl>
      <w:tblPr>
        <w:tblpPr w:leftFromText="180" w:rightFromText="180" w:vertAnchor="text" w:horzAnchor="margin" w:tblpY="-2"/>
        <w:tblOverlap w:val="never"/>
        <w:tblW w:w="4813" w:type="pct"/>
        <w:tblLayout w:type="fixed"/>
        <w:tblLook w:val="0000" w:firstRow="0" w:lastRow="0" w:firstColumn="0" w:lastColumn="0" w:noHBand="0" w:noVBand="0"/>
      </w:tblPr>
      <w:tblGrid>
        <w:gridCol w:w="6261"/>
        <w:gridCol w:w="1370"/>
        <w:gridCol w:w="1052"/>
      </w:tblGrid>
      <w:tr w:rsidR="00E579CB" w:rsidRPr="00E579CB" w:rsidTr="00E579CB">
        <w:trPr>
          <w:trHeight w:val="315"/>
        </w:trPr>
        <w:tc>
          <w:tcPr>
            <w:tcW w:w="5000" w:type="pct"/>
            <w:gridSpan w:val="3"/>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b/>
                <w:color w:val="000000"/>
                <w:szCs w:val="21"/>
                <w:lang w:val="en-US"/>
              </w:rPr>
            </w:pPr>
          </w:p>
        </w:tc>
      </w:tr>
      <w:tr w:rsidR="00E579CB" w:rsidRPr="00E579CB" w:rsidTr="00E579CB">
        <w:trPr>
          <w:trHeight w:val="315"/>
        </w:trPr>
        <w:tc>
          <w:tcPr>
            <w:tcW w:w="5000" w:type="pct"/>
            <w:gridSpan w:val="3"/>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b/>
                <w:color w:val="000000"/>
                <w:szCs w:val="21"/>
                <w:lang w:val="en-US"/>
              </w:rPr>
            </w:pPr>
            <w:r w:rsidRPr="00E579CB">
              <w:rPr>
                <w:rFonts w:cs="Arial"/>
                <w:b/>
                <w:color w:val="000000"/>
                <w:szCs w:val="21"/>
                <w:lang w:val="en-US"/>
              </w:rPr>
              <w:t>Reconciliation</w:t>
            </w:r>
          </w:p>
        </w:tc>
      </w:tr>
      <w:tr w:rsidR="00E579CB" w:rsidRPr="00E579CB" w:rsidTr="00E579CB">
        <w:trPr>
          <w:trHeight w:val="315"/>
        </w:trPr>
        <w:tc>
          <w:tcPr>
            <w:tcW w:w="5000" w:type="pct"/>
            <w:gridSpan w:val="3"/>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b/>
                <w:color w:val="000000"/>
                <w:szCs w:val="21"/>
                <w:lang w:val="en-US"/>
              </w:rPr>
            </w:pPr>
            <w:r w:rsidRPr="00E579CB">
              <w:rPr>
                <w:rFonts w:cs="Arial"/>
                <w:color w:val="000000"/>
                <w:szCs w:val="21"/>
                <w:lang w:val="en-US"/>
              </w:rPr>
              <w:t>Reconciliation of the carrying amounts of intangible assets at the beginning and the end of the financial period are set out below:</w:t>
            </w:r>
          </w:p>
        </w:tc>
      </w:tr>
      <w:tr w:rsidR="00E579CB" w:rsidRPr="00E579CB" w:rsidTr="00E579CB">
        <w:trPr>
          <w:trHeight w:val="315"/>
        </w:trPr>
        <w:tc>
          <w:tcPr>
            <w:tcW w:w="5000" w:type="pct"/>
            <w:gridSpan w:val="3"/>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color w:val="000000"/>
                <w:szCs w:val="21"/>
                <w:lang w:val="en-US"/>
              </w:rPr>
            </w:pPr>
          </w:p>
        </w:tc>
      </w:tr>
      <w:tr w:rsidR="00E579CB" w:rsidRPr="00E579CB" w:rsidTr="00E579CB">
        <w:trPr>
          <w:gridAfter w:val="1"/>
          <w:wAfter w:w="606" w:type="pct"/>
          <w:trHeight w:val="315"/>
        </w:trPr>
        <w:tc>
          <w:tcPr>
            <w:tcW w:w="3605" w:type="pct"/>
            <w:tcBorders>
              <w:top w:val="nil"/>
              <w:left w:val="nil"/>
              <w:bottom w:val="nil"/>
              <w:right w:val="nil"/>
            </w:tcBorders>
            <w:shd w:val="clear" w:color="auto" w:fill="auto"/>
            <w:vAlign w:val="bottom"/>
          </w:tcPr>
          <w:p w:rsidR="00E579CB" w:rsidRPr="00E579CB" w:rsidRDefault="00E579CB" w:rsidP="00E579CB">
            <w:pPr>
              <w:spacing w:after="40" w:line="260" w:lineRule="atLeast"/>
              <w:ind w:left="-117"/>
              <w:rPr>
                <w:rFonts w:cs="Arial"/>
                <w:color w:val="000000"/>
                <w:szCs w:val="21"/>
                <w:lang w:val="en-US"/>
              </w:rPr>
            </w:pPr>
          </w:p>
        </w:tc>
        <w:tc>
          <w:tcPr>
            <w:tcW w:w="789" w:type="pct"/>
            <w:tcBorders>
              <w:left w:val="nil"/>
              <w:bottom w:val="nil"/>
              <w:right w:val="nil"/>
            </w:tcBorders>
            <w:shd w:val="clear" w:color="auto" w:fill="auto"/>
            <w:vAlign w:val="bottom"/>
          </w:tcPr>
          <w:p w:rsidR="00E579CB" w:rsidRPr="00E579CB" w:rsidRDefault="00E579CB" w:rsidP="00E579CB">
            <w:pPr>
              <w:spacing w:after="40" w:line="260" w:lineRule="atLeast"/>
              <w:ind w:left="-117" w:right="250"/>
              <w:jc w:val="center"/>
              <w:rPr>
                <w:rFonts w:cs="Arial"/>
                <w:b/>
                <w:color w:val="000000"/>
                <w:szCs w:val="21"/>
                <w:lang w:val="en-US"/>
              </w:rPr>
            </w:pPr>
            <w:r w:rsidRPr="00E579CB">
              <w:rPr>
                <w:rFonts w:cs="Arial"/>
                <w:b/>
                <w:color w:val="000000"/>
                <w:szCs w:val="21"/>
                <w:lang w:val="en-US"/>
              </w:rPr>
              <w:t>Software</w:t>
            </w:r>
          </w:p>
        </w:tc>
      </w:tr>
      <w:tr w:rsidR="00E579CB" w:rsidRPr="00E579CB" w:rsidTr="00E579CB">
        <w:trPr>
          <w:gridAfter w:val="1"/>
          <w:wAfter w:w="606" w:type="pct"/>
          <w:trHeight w:val="304"/>
        </w:trPr>
        <w:tc>
          <w:tcPr>
            <w:tcW w:w="3605" w:type="pct"/>
            <w:tcBorders>
              <w:top w:val="nil"/>
              <w:left w:val="nil"/>
              <w:bottom w:val="nil"/>
              <w:right w:val="nil"/>
            </w:tcBorders>
            <w:shd w:val="clear" w:color="auto" w:fill="auto"/>
            <w:vAlign w:val="bottom"/>
          </w:tcPr>
          <w:p w:rsidR="00E579CB" w:rsidRPr="00E579CB" w:rsidRDefault="00E579CB" w:rsidP="00E579CB">
            <w:pPr>
              <w:spacing w:after="40" w:line="260" w:lineRule="atLeast"/>
              <w:ind w:left="-117"/>
              <w:rPr>
                <w:rFonts w:cs="Arial"/>
                <w:color w:val="000000"/>
                <w:szCs w:val="21"/>
                <w:lang w:val="en-US"/>
              </w:rPr>
            </w:pPr>
          </w:p>
        </w:tc>
        <w:tc>
          <w:tcPr>
            <w:tcW w:w="789" w:type="pct"/>
            <w:tcBorders>
              <w:left w:val="nil"/>
              <w:bottom w:val="single" w:sz="4" w:space="0" w:color="auto"/>
              <w:right w:val="nil"/>
            </w:tcBorders>
            <w:shd w:val="clear" w:color="auto" w:fill="auto"/>
            <w:vAlign w:val="bottom"/>
          </w:tcPr>
          <w:p w:rsidR="00E579CB" w:rsidRPr="00E579CB" w:rsidRDefault="00E579CB" w:rsidP="00E579CB">
            <w:pPr>
              <w:spacing w:after="40" w:line="260" w:lineRule="atLeast"/>
              <w:ind w:left="-117" w:right="250"/>
              <w:jc w:val="center"/>
              <w:rPr>
                <w:rFonts w:cs="Arial"/>
                <w:b/>
                <w:color w:val="000000"/>
                <w:szCs w:val="21"/>
                <w:lang w:val="en-US"/>
              </w:rPr>
            </w:pPr>
            <w:r w:rsidRPr="00E579CB">
              <w:rPr>
                <w:rFonts w:cs="Arial"/>
                <w:b/>
                <w:color w:val="000000"/>
                <w:szCs w:val="21"/>
                <w:lang w:val="en-US"/>
              </w:rPr>
              <w:t>$</w:t>
            </w:r>
          </w:p>
        </w:tc>
      </w:tr>
      <w:tr w:rsidR="00E579CB" w:rsidRPr="00E579CB" w:rsidTr="00E579CB">
        <w:trPr>
          <w:gridAfter w:val="1"/>
          <w:wAfter w:w="606" w:type="pct"/>
          <w:trHeight w:val="270"/>
        </w:trPr>
        <w:tc>
          <w:tcPr>
            <w:tcW w:w="3605" w:type="pct"/>
            <w:tcBorders>
              <w:top w:val="nil"/>
              <w:left w:val="nil"/>
              <w:bottom w:val="nil"/>
              <w:right w:val="nil"/>
            </w:tcBorders>
            <w:shd w:val="clear" w:color="auto" w:fill="auto"/>
            <w:vAlign w:val="bottom"/>
          </w:tcPr>
          <w:p w:rsidR="00E579CB" w:rsidRPr="00E579CB" w:rsidRDefault="00E579CB" w:rsidP="00E579CB">
            <w:pPr>
              <w:spacing w:after="40" w:line="260" w:lineRule="atLeast"/>
              <w:ind w:left="-117"/>
              <w:rPr>
                <w:rFonts w:cs="Arial"/>
                <w:b/>
                <w:color w:val="000000"/>
                <w:szCs w:val="21"/>
                <w:lang w:val="en-US"/>
              </w:rPr>
            </w:pPr>
            <w:r w:rsidRPr="00E579CB">
              <w:rPr>
                <w:rFonts w:cs="Arial"/>
                <w:b/>
                <w:color w:val="000000"/>
                <w:szCs w:val="21"/>
                <w:lang w:val="en-US"/>
              </w:rPr>
              <w:t>Carrying amount as at 30 June 2018</w:t>
            </w:r>
          </w:p>
        </w:tc>
        <w:tc>
          <w:tcPr>
            <w:tcW w:w="789" w:type="pct"/>
            <w:tcBorders>
              <w:top w:val="single" w:sz="4" w:space="0" w:color="auto"/>
              <w:left w:val="nil"/>
              <w:right w:val="nil"/>
            </w:tcBorders>
            <w:shd w:val="clear" w:color="auto" w:fill="auto"/>
            <w:vAlign w:val="center"/>
          </w:tcPr>
          <w:p w:rsidR="00E579CB" w:rsidRPr="00E579CB" w:rsidRDefault="00E579CB" w:rsidP="00E579CB">
            <w:pPr>
              <w:spacing w:after="40" w:line="260" w:lineRule="atLeast"/>
              <w:ind w:left="-117" w:right="250"/>
              <w:jc w:val="right"/>
              <w:rPr>
                <w:rFonts w:cs="Arial"/>
                <w:color w:val="000000"/>
                <w:szCs w:val="21"/>
                <w:highlight w:val="yellow"/>
                <w:lang w:val="en-US"/>
              </w:rPr>
            </w:pPr>
            <w:r w:rsidRPr="00E579CB">
              <w:rPr>
                <w:rFonts w:cs="Arial"/>
                <w:color w:val="000000"/>
                <w:szCs w:val="21"/>
                <w:lang w:val="en-US"/>
              </w:rPr>
              <w:t>962</w:t>
            </w:r>
          </w:p>
        </w:tc>
      </w:tr>
      <w:tr w:rsidR="00E579CB" w:rsidRPr="00E579CB" w:rsidTr="00E579CB">
        <w:trPr>
          <w:gridAfter w:val="1"/>
          <w:wAfter w:w="606" w:type="pct"/>
          <w:trHeight w:val="270"/>
        </w:trPr>
        <w:tc>
          <w:tcPr>
            <w:tcW w:w="3605" w:type="pct"/>
            <w:tcBorders>
              <w:top w:val="nil"/>
              <w:left w:val="nil"/>
              <w:bottom w:val="nil"/>
              <w:right w:val="nil"/>
            </w:tcBorders>
            <w:shd w:val="clear" w:color="auto" w:fill="auto"/>
            <w:vAlign w:val="bottom"/>
          </w:tcPr>
          <w:p w:rsidR="00E579CB" w:rsidRPr="00E579CB" w:rsidRDefault="00E579CB" w:rsidP="00E579CB">
            <w:pPr>
              <w:spacing w:after="40" w:line="260" w:lineRule="atLeast"/>
              <w:ind w:left="-117"/>
              <w:rPr>
                <w:rFonts w:cs="Arial"/>
                <w:b/>
                <w:color w:val="000000"/>
                <w:szCs w:val="21"/>
                <w:lang w:val="en-US"/>
              </w:rPr>
            </w:pPr>
            <w:r w:rsidRPr="00E579CB">
              <w:rPr>
                <w:rFonts w:cs="Arial"/>
                <w:color w:val="000000"/>
                <w:szCs w:val="21"/>
                <w:lang w:val="en-US"/>
              </w:rPr>
              <w:t>Additions</w:t>
            </w:r>
          </w:p>
        </w:tc>
        <w:tc>
          <w:tcPr>
            <w:tcW w:w="789" w:type="pct"/>
            <w:tcBorders>
              <w:left w:val="nil"/>
              <w:right w:val="nil"/>
            </w:tcBorders>
            <w:shd w:val="clear" w:color="auto" w:fill="auto"/>
            <w:vAlign w:val="center"/>
          </w:tcPr>
          <w:p w:rsidR="00E579CB" w:rsidRPr="00E579CB" w:rsidRDefault="00E579CB" w:rsidP="00E579CB">
            <w:pPr>
              <w:spacing w:after="40" w:line="260" w:lineRule="atLeast"/>
              <w:ind w:left="-117" w:right="250"/>
              <w:jc w:val="right"/>
              <w:rPr>
                <w:rFonts w:cs="Arial"/>
                <w:color w:val="000000"/>
                <w:szCs w:val="21"/>
                <w:lang w:val="en-US"/>
              </w:rPr>
            </w:pPr>
            <w:r w:rsidRPr="00E579CB">
              <w:rPr>
                <w:rFonts w:cs="Arial"/>
                <w:color w:val="000000"/>
                <w:szCs w:val="21"/>
                <w:lang w:val="en-US"/>
              </w:rPr>
              <w:t>8,318</w:t>
            </w:r>
          </w:p>
        </w:tc>
      </w:tr>
      <w:tr w:rsidR="00E579CB" w:rsidRPr="00E579CB" w:rsidTr="00E579CB">
        <w:trPr>
          <w:gridAfter w:val="1"/>
          <w:wAfter w:w="606" w:type="pct"/>
          <w:trHeight w:val="270"/>
        </w:trPr>
        <w:tc>
          <w:tcPr>
            <w:tcW w:w="3605" w:type="pct"/>
            <w:tcBorders>
              <w:top w:val="nil"/>
              <w:left w:val="nil"/>
              <w:bottom w:val="nil"/>
              <w:right w:val="nil"/>
            </w:tcBorders>
            <w:shd w:val="clear" w:color="auto" w:fill="auto"/>
            <w:vAlign w:val="bottom"/>
          </w:tcPr>
          <w:p w:rsidR="00E579CB" w:rsidRPr="00E579CB" w:rsidRDefault="00E579CB" w:rsidP="00E579CB">
            <w:pPr>
              <w:spacing w:after="40" w:line="260" w:lineRule="atLeast"/>
              <w:ind w:left="-117"/>
              <w:rPr>
                <w:rFonts w:cs="Arial"/>
                <w:b/>
                <w:color w:val="000000"/>
                <w:szCs w:val="21"/>
                <w:lang w:val="en-US"/>
              </w:rPr>
            </w:pPr>
            <w:r w:rsidRPr="00E579CB">
              <w:rPr>
                <w:rFonts w:cs="Arial"/>
                <w:color w:val="000000"/>
                <w:szCs w:val="21"/>
                <w:lang w:val="en-US"/>
              </w:rPr>
              <w:t>Disposals</w:t>
            </w:r>
          </w:p>
        </w:tc>
        <w:tc>
          <w:tcPr>
            <w:tcW w:w="789" w:type="pct"/>
            <w:tcBorders>
              <w:left w:val="nil"/>
              <w:right w:val="nil"/>
            </w:tcBorders>
            <w:shd w:val="clear" w:color="auto" w:fill="auto"/>
            <w:vAlign w:val="center"/>
          </w:tcPr>
          <w:p w:rsidR="00E579CB" w:rsidRPr="00E579CB" w:rsidRDefault="00E579CB" w:rsidP="00E579CB">
            <w:pPr>
              <w:spacing w:after="40" w:line="260" w:lineRule="atLeast"/>
              <w:ind w:left="-117" w:right="250"/>
              <w:jc w:val="right"/>
              <w:rPr>
                <w:rFonts w:cs="Arial"/>
                <w:color w:val="000000"/>
                <w:szCs w:val="21"/>
                <w:lang w:val="en-US"/>
              </w:rPr>
            </w:pPr>
            <w:r w:rsidRPr="00E579CB">
              <w:rPr>
                <w:rFonts w:cs="Arial"/>
                <w:color w:val="000000"/>
                <w:szCs w:val="21"/>
                <w:lang w:val="en-US"/>
              </w:rPr>
              <w:t>-</w:t>
            </w:r>
          </w:p>
        </w:tc>
      </w:tr>
      <w:tr w:rsidR="00E579CB" w:rsidRPr="00E579CB" w:rsidTr="00E579CB">
        <w:trPr>
          <w:gridAfter w:val="1"/>
          <w:wAfter w:w="606" w:type="pct"/>
          <w:trHeight w:val="270"/>
        </w:trPr>
        <w:tc>
          <w:tcPr>
            <w:tcW w:w="3605" w:type="pct"/>
            <w:tcBorders>
              <w:top w:val="nil"/>
              <w:left w:val="nil"/>
              <w:bottom w:val="nil"/>
              <w:right w:val="nil"/>
            </w:tcBorders>
            <w:shd w:val="clear" w:color="auto" w:fill="auto"/>
            <w:vAlign w:val="bottom"/>
          </w:tcPr>
          <w:p w:rsidR="00E579CB" w:rsidRPr="00E579CB" w:rsidRDefault="00E579CB" w:rsidP="00E579CB">
            <w:pPr>
              <w:spacing w:after="40" w:line="260" w:lineRule="atLeast"/>
              <w:ind w:left="-117"/>
              <w:rPr>
                <w:rFonts w:cs="Arial"/>
                <w:b/>
                <w:color w:val="000000"/>
                <w:szCs w:val="21"/>
                <w:lang w:val="en-US"/>
              </w:rPr>
            </w:pPr>
            <w:proofErr w:type="spellStart"/>
            <w:r w:rsidRPr="00E579CB">
              <w:rPr>
                <w:rFonts w:cs="Arial"/>
                <w:color w:val="000000"/>
                <w:szCs w:val="21"/>
                <w:lang w:val="en-US"/>
              </w:rPr>
              <w:t>Amortisation</w:t>
            </w:r>
            <w:proofErr w:type="spellEnd"/>
            <w:r w:rsidRPr="00E579CB">
              <w:rPr>
                <w:rFonts w:cs="Arial"/>
                <w:color w:val="000000"/>
                <w:szCs w:val="21"/>
                <w:lang w:val="en-US"/>
              </w:rPr>
              <w:t xml:space="preserve"> expense</w:t>
            </w:r>
          </w:p>
        </w:tc>
        <w:tc>
          <w:tcPr>
            <w:tcW w:w="789" w:type="pct"/>
            <w:tcBorders>
              <w:left w:val="nil"/>
              <w:bottom w:val="single" w:sz="4" w:space="0" w:color="auto"/>
              <w:right w:val="nil"/>
            </w:tcBorders>
            <w:shd w:val="clear" w:color="auto" w:fill="auto"/>
            <w:vAlign w:val="center"/>
          </w:tcPr>
          <w:p w:rsidR="00E579CB" w:rsidRPr="00E579CB" w:rsidRDefault="00E579CB" w:rsidP="00E579CB">
            <w:pPr>
              <w:spacing w:after="40" w:line="260" w:lineRule="atLeast"/>
              <w:ind w:left="-117" w:right="250"/>
              <w:jc w:val="right"/>
              <w:rPr>
                <w:rFonts w:cs="Arial"/>
                <w:color w:val="000000"/>
                <w:szCs w:val="21"/>
                <w:lang w:val="en-US"/>
              </w:rPr>
            </w:pPr>
            <w:r w:rsidRPr="00E579CB">
              <w:rPr>
                <w:rFonts w:cs="Arial"/>
                <w:color w:val="000000"/>
                <w:szCs w:val="21"/>
                <w:lang w:val="en-US"/>
              </w:rPr>
              <w:t>(3,902)</w:t>
            </w:r>
          </w:p>
        </w:tc>
      </w:tr>
      <w:tr w:rsidR="00E579CB" w:rsidRPr="00E579CB" w:rsidTr="00E579CB">
        <w:trPr>
          <w:gridAfter w:val="1"/>
          <w:wAfter w:w="606" w:type="pct"/>
          <w:trHeight w:val="270"/>
        </w:trPr>
        <w:tc>
          <w:tcPr>
            <w:tcW w:w="3605" w:type="pct"/>
            <w:tcBorders>
              <w:top w:val="nil"/>
              <w:left w:val="nil"/>
              <w:bottom w:val="nil"/>
              <w:right w:val="nil"/>
            </w:tcBorders>
            <w:shd w:val="clear" w:color="auto" w:fill="auto"/>
            <w:vAlign w:val="bottom"/>
          </w:tcPr>
          <w:p w:rsidR="00E579CB" w:rsidRPr="00E579CB" w:rsidRDefault="00E579CB" w:rsidP="00E579CB">
            <w:pPr>
              <w:spacing w:after="40" w:line="260" w:lineRule="atLeast"/>
              <w:ind w:left="-117"/>
              <w:rPr>
                <w:rFonts w:cs="Arial"/>
                <w:b/>
                <w:color w:val="000000"/>
                <w:szCs w:val="21"/>
                <w:lang w:val="en-US"/>
              </w:rPr>
            </w:pPr>
            <w:r w:rsidRPr="00E579CB">
              <w:rPr>
                <w:rFonts w:cs="Arial"/>
                <w:b/>
                <w:color w:val="000000"/>
                <w:szCs w:val="21"/>
                <w:lang w:val="en-US"/>
              </w:rPr>
              <w:t>Carrying amount as at 30 June 2019</w:t>
            </w:r>
          </w:p>
        </w:tc>
        <w:tc>
          <w:tcPr>
            <w:tcW w:w="789" w:type="pct"/>
            <w:tcBorders>
              <w:top w:val="single" w:sz="4" w:space="0" w:color="auto"/>
              <w:left w:val="nil"/>
              <w:bottom w:val="double" w:sz="4" w:space="0" w:color="auto"/>
              <w:right w:val="nil"/>
            </w:tcBorders>
            <w:shd w:val="clear" w:color="auto" w:fill="auto"/>
            <w:vAlign w:val="center"/>
          </w:tcPr>
          <w:p w:rsidR="00E579CB" w:rsidRPr="00E579CB" w:rsidRDefault="00E579CB" w:rsidP="00E579CB">
            <w:pPr>
              <w:spacing w:after="40" w:line="260" w:lineRule="atLeast"/>
              <w:ind w:left="-117" w:right="250"/>
              <w:jc w:val="right"/>
              <w:rPr>
                <w:rFonts w:cs="Arial"/>
                <w:color w:val="000000"/>
                <w:szCs w:val="21"/>
                <w:lang w:val="en-US"/>
              </w:rPr>
            </w:pPr>
            <w:r w:rsidRPr="00E579CB">
              <w:rPr>
                <w:rFonts w:cs="Arial"/>
                <w:color w:val="000000"/>
                <w:szCs w:val="21"/>
                <w:lang w:val="en-US"/>
              </w:rPr>
              <w:t>5,378</w:t>
            </w:r>
          </w:p>
        </w:tc>
      </w:tr>
    </w:tbl>
    <w:p w:rsidR="00E579CB" w:rsidRPr="00E579CB" w:rsidRDefault="00E579CB" w:rsidP="00E579CB">
      <w:pPr>
        <w:spacing w:after="0"/>
        <w:rPr>
          <w:rFonts w:cs="Arial"/>
          <w:vanish/>
          <w:szCs w:val="21"/>
        </w:rPr>
      </w:pPr>
    </w:p>
    <w:p w:rsidR="00E579CB" w:rsidRPr="00E579CB" w:rsidRDefault="00E579CB" w:rsidP="00E579CB">
      <w:pPr>
        <w:pStyle w:val="NoSpacing"/>
        <w:rPr>
          <w:rFonts w:ascii="Helvetica Neue" w:hAnsi="Helvetica Neue"/>
          <w:sz w:val="21"/>
          <w:szCs w:val="21"/>
        </w:rPr>
      </w:pPr>
    </w:p>
    <w:tbl>
      <w:tblPr>
        <w:tblW w:w="8517" w:type="dxa"/>
        <w:tblLayout w:type="fixed"/>
        <w:tblLook w:val="0000" w:firstRow="0" w:lastRow="0" w:firstColumn="0" w:lastColumn="0" w:noHBand="0" w:noVBand="0"/>
      </w:tblPr>
      <w:tblGrid>
        <w:gridCol w:w="216"/>
        <w:gridCol w:w="5448"/>
        <w:gridCol w:w="1279"/>
        <w:gridCol w:w="1358"/>
        <w:gridCol w:w="216"/>
      </w:tblGrid>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b/>
                <w:color w:val="000000"/>
                <w:szCs w:val="21"/>
                <w:lang w:val="en-US"/>
              </w:rPr>
            </w:pPr>
            <w:r w:rsidRPr="00E579CB">
              <w:rPr>
                <w:rFonts w:cs="Arial"/>
                <w:b/>
                <w:szCs w:val="21"/>
              </w:rPr>
              <w:t>8 Current Liabilities – Trade &amp; Other Payables</w:t>
            </w:r>
          </w:p>
        </w:tc>
        <w:tc>
          <w:tcPr>
            <w:tcW w:w="1279" w:type="dxa"/>
            <w:tcBorders>
              <w:top w:val="nil"/>
              <w:left w:val="nil"/>
              <w:bottom w:val="nil"/>
              <w:right w:val="nil"/>
            </w:tcBorders>
            <w:shd w:val="clear" w:color="auto" w:fill="auto"/>
          </w:tcPr>
          <w:p w:rsidR="00E579CB" w:rsidRPr="00E579CB" w:rsidRDefault="00E579CB" w:rsidP="00E579CB">
            <w:pPr>
              <w:spacing w:after="40" w:line="260" w:lineRule="atLeast"/>
              <w:jc w:val="center"/>
              <w:rPr>
                <w:rFonts w:cs="Arial"/>
                <w:b/>
                <w:bCs/>
                <w:color w:val="000000"/>
                <w:szCs w:val="21"/>
                <w:lang w:val="en-US"/>
              </w:rPr>
            </w:pPr>
          </w:p>
        </w:tc>
        <w:tc>
          <w:tcPr>
            <w:tcW w:w="1358" w:type="dxa"/>
            <w:tcBorders>
              <w:top w:val="nil"/>
              <w:left w:val="nil"/>
              <w:bottom w:val="nil"/>
              <w:right w:val="nil"/>
            </w:tcBorders>
            <w:shd w:val="clear" w:color="auto" w:fill="auto"/>
          </w:tcPr>
          <w:p w:rsidR="00E579CB" w:rsidRPr="00E579CB" w:rsidRDefault="00E579CB" w:rsidP="00E579CB">
            <w:pPr>
              <w:spacing w:after="40" w:line="260" w:lineRule="atLeast"/>
              <w:jc w:val="center"/>
              <w:rPr>
                <w:rFonts w:cs="Arial"/>
                <w:bCs/>
                <w:color w:val="000000"/>
                <w:szCs w:val="21"/>
                <w:lang w:val="en-US"/>
              </w:rPr>
            </w:pP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b/>
                <w:szCs w:val="21"/>
              </w:rPr>
            </w:pPr>
          </w:p>
        </w:tc>
        <w:tc>
          <w:tcPr>
            <w:tcW w:w="1279" w:type="dxa"/>
            <w:tcBorders>
              <w:top w:val="nil"/>
              <w:left w:val="nil"/>
              <w:bottom w:val="nil"/>
              <w:right w:val="nil"/>
            </w:tcBorders>
            <w:shd w:val="clear" w:color="auto" w:fill="auto"/>
          </w:tcPr>
          <w:p w:rsidR="00E579CB" w:rsidRPr="00E579CB" w:rsidRDefault="00E579CB" w:rsidP="00E579CB">
            <w:pPr>
              <w:spacing w:after="40" w:line="260" w:lineRule="atLeast"/>
              <w:ind w:left="142"/>
              <w:jc w:val="center"/>
              <w:rPr>
                <w:rFonts w:cs="Arial"/>
                <w:b/>
                <w:bCs/>
                <w:color w:val="000000"/>
                <w:szCs w:val="21"/>
                <w:lang w:val="en-US"/>
              </w:rPr>
            </w:pPr>
            <w:r w:rsidRPr="00E579CB">
              <w:rPr>
                <w:rFonts w:cs="Arial"/>
                <w:b/>
                <w:bCs/>
                <w:color w:val="000000"/>
                <w:szCs w:val="21"/>
                <w:lang w:val="en-US"/>
              </w:rPr>
              <w:t>2019</w:t>
            </w:r>
          </w:p>
        </w:tc>
        <w:tc>
          <w:tcPr>
            <w:tcW w:w="1358" w:type="dxa"/>
            <w:tcBorders>
              <w:top w:val="nil"/>
              <w:left w:val="nil"/>
              <w:bottom w:val="nil"/>
              <w:right w:val="nil"/>
            </w:tcBorders>
            <w:shd w:val="clear" w:color="auto" w:fill="auto"/>
          </w:tcPr>
          <w:p w:rsidR="00E579CB" w:rsidRPr="00E579CB" w:rsidRDefault="00E579CB" w:rsidP="00E579CB">
            <w:pPr>
              <w:spacing w:after="40" w:line="260" w:lineRule="atLeast"/>
              <w:ind w:left="142"/>
              <w:jc w:val="center"/>
              <w:rPr>
                <w:rFonts w:cs="Arial"/>
                <w:b/>
                <w:bCs/>
                <w:color w:val="000000"/>
                <w:szCs w:val="21"/>
                <w:lang w:val="en-US"/>
              </w:rPr>
            </w:pPr>
            <w:r w:rsidRPr="00E579CB">
              <w:rPr>
                <w:rFonts w:cs="Arial"/>
                <w:b/>
                <w:bCs/>
                <w:color w:val="000000"/>
                <w:szCs w:val="21"/>
                <w:lang w:val="en-US"/>
              </w:rPr>
              <w:t>2018</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b/>
                <w:szCs w:val="21"/>
              </w:rPr>
            </w:pPr>
          </w:p>
        </w:tc>
        <w:tc>
          <w:tcPr>
            <w:tcW w:w="1279" w:type="dxa"/>
            <w:tcBorders>
              <w:top w:val="nil"/>
              <w:left w:val="nil"/>
              <w:bottom w:val="nil"/>
              <w:right w:val="nil"/>
            </w:tcBorders>
            <w:shd w:val="clear" w:color="auto" w:fill="auto"/>
          </w:tcPr>
          <w:p w:rsidR="00E579CB" w:rsidRPr="00E579CB" w:rsidRDefault="00E579CB" w:rsidP="00E579CB">
            <w:pPr>
              <w:spacing w:after="40" w:line="260" w:lineRule="atLeast"/>
              <w:ind w:left="142"/>
              <w:jc w:val="center"/>
              <w:rPr>
                <w:rFonts w:cs="Arial"/>
                <w:b/>
                <w:bCs/>
                <w:color w:val="000000"/>
                <w:szCs w:val="21"/>
                <w:lang w:val="en-US"/>
              </w:rPr>
            </w:pPr>
            <w:r w:rsidRPr="00E579CB">
              <w:rPr>
                <w:rFonts w:cs="Arial"/>
                <w:b/>
                <w:bCs/>
                <w:color w:val="000000"/>
                <w:szCs w:val="21"/>
                <w:lang w:val="en-US"/>
              </w:rPr>
              <w:t>$</w:t>
            </w:r>
          </w:p>
        </w:tc>
        <w:tc>
          <w:tcPr>
            <w:tcW w:w="1358" w:type="dxa"/>
            <w:tcBorders>
              <w:top w:val="nil"/>
              <w:left w:val="nil"/>
              <w:bottom w:val="nil"/>
              <w:right w:val="nil"/>
            </w:tcBorders>
            <w:shd w:val="clear" w:color="auto" w:fill="auto"/>
          </w:tcPr>
          <w:p w:rsidR="00E579CB" w:rsidRPr="00E579CB" w:rsidRDefault="00E579CB" w:rsidP="00E579CB">
            <w:pPr>
              <w:spacing w:after="40" w:line="260" w:lineRule="atLeast"/>
              <w:ind w:left="142"/>
              <w:jc w:val="center"/>
              <w:rPr>
                <w:rFonts w:cs="Arial"/>
                <w:b/>
                <w:bCs/>
                <w:color w:val="000000"/>
                <w:szCs w:val="21"/>
                <w:lang w:val="en-US"/>
              </w:rPr>
            </w:pPr>
            <w:r w:rsidRPr="00E579CB">
              <w:rPr>
                <w:rFonts w:cs="Arial"/>
                <w:b/>
                <w:bCs/>
                <w:color w:val="000000"/>
                <w:szCs w:val="21"/>
                <w:lang w:val="en-US"/>
              </w:rPr>
              <w:t>$</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color w:val="000000"/>
                <w:szCs w:val="21"/>
                <w:lang w:val="en-US"/>
              </w:rPr>
            </w:pPr>
            <w:r w:rsidRPr="00E579CB">
              <w:rPr>
                <w:rFonts w:cs="Arial"/>
                <w:color w:val="000000"/>
                <w:szCs w:val="21"/>
                <w:lang w:val="en-US"/>
              </w:rPr>
              <w:t>Trade payables</w:t>
            </w:r>
          </w:p>
        </w:tc>
        <w:tc>
          <w:tcPr>
            <w:tcW w:w="1279" w:type="dxa"/>
            <w:tcBorders>
              <w:top w:val="nil"/>
              <w:left w:val="nil"/>
              <w:right w:val="nil"/>
            </w:tcBorders>
            <w:shd w:val="clear" w:color="auto" w:fill="auto"/>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214,244</w:t>
            </w:r>
          </w:p>
        </w:tc>
        <w:tc>
          <w:tcPr>
            <w:tcW w:w="1358" w:type="dxa"/>
            <w:tcBorders>
              <w:top w:val="nil"/>
              <w:left w:val="nil"/>
              <w:right w:val="nil"/>
            </w:tcBorders>
            <w:shd w:val="clear" w:color="auto" w:fill="auto"/>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167,899</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color w:val="000000"/>
                <w:szCs w:val="21"/>
                <w:lang w:val="en-US"/>
              </w:rPr>
            </w:pPr>
            <w:r w:rsidRPr="00E579CB">
              <w:rPr>
                <w:rFonts w:cs="Arial"/>
                <w:color w:val="000000"/>
                <w:szCs w:val="21"/>
                <w:lang w:val="en-US"/>
              </w:rPr>
              <w:t>Sundry creditors &amp; other payables</w:t>
            </w:r>
          </w:p>
        </w:tc>
        <w:tc>
          <w:tcPr>
            <w:tcW w:w="1279" w:type="dxa"/>
            <w:tcBorders>
              <w:top w:val="nil"/>
              <w:left w:val="nil"/>
              <w:bottom w:val="nil"/>
              <w:right w:val="nil"/>
            </w:tcBorders>
            <w:shd w:val="clear" w:color="auto" w:fill="auto"/>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370,804</w:t>
            </w:r>
          </w:p>
        </w:tc>
        <w:tc>
          <w:tcPr>
            <w:tcW w:w="1358" w:type="dxa"/>
            <w:tcBorders>
              <w:top w:val="nil"/>
              <w:left w:val="nil"/>
              <w:bottom w:val="nil"/>
              <w:right w:val="nil"/>
            </w:tcBorders>
            <w:shd w:val="clear" w:color="auto" w:fill="auto"/>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114,236</w:t>
            </w:r>
          </w:p>
        </w:tc>
      </w:tr>
      <w:tr w:rsidR="00E579CB" w:rsidRPr="00E579CB" w:rsidTr="00E579CB">
        <w:trPr>
          <w:gridAfter w:val="1"/>
          <w:wAfter w:w="216" w:type="dxa"/>
          <w:trHeight w:val="270"/>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color w:val="000000"/>
                <w:szCs w:val="21"/>
                <w:lang w:val="en-US"/>
              </w:rPr>
            </w:pPr>
          </w:p>
        </w:tc>
        <w:tc>
          <w:tcPr>
            <w:tcW w:w="1279" w:type="dxa"/>
            <w:tcBorders>
              <w:top w:val="single" w:sz="4" w:space="0" w:color="auto"/>
              <w:left w:val="nil"/>
              <w:bottom w:val="double" w:sz="6" w:space="0" w:color="auto"/>
              <w:right w:val="nil"/>
            </w:tcBorders>
            <w:shd w:val="clear" w:color="auto" w:fill="auto"/>
            <w:vAlign w:val="bottom"/>
          </w:tcPr>
          <w:p w:rsidR="00E579CB" w:rsidRPr="00E579CB" w:rsidRDefault="00E579CB" w:rsidP="00E579CB">
            <w:pPr>
              <w:spacing w:after="0"/>
              <w:jc w:val="right"/>
              <w:rPr>
                <w:rFonts w:cs="Arial"/>
                <w:szCs w:val="21"/>
                <w:lang w:val="en-US"/>
              </w:rPr>
            </w:pPr>
            <w:r w:rsidRPr="00E579CB">
              <w:rPr>
                <w:rFonts w:cs="Arial"/>
                <w:szCs w:val="21"/>
                <w:lang w:val="en-US"/>
              </w:rPr>
              <w:t>585,048</w:t>
            </w:r>
          </w:p>
        </w:tc>
        <w:tc>
          <w:tcPr>
            <w:tcW w:w="1358" w:type="dxa"/>
            <w:tcBorders>
              <w:top w:val="single" w:sz="4" w:space="0" w:color="auto"/>
              <w:left w:val="nil"/>
              <w:bottom w:val="double" w:sz="6" w:space="0" w:color="auto"/>
              <w:right w:val="nil"/>
            </w:tcBorders>
            <w:shd w:val="clear" w:color="auto" w:fill="auto"/>
            <w:vAlign w:val="bottom"/>
          </w:tcPr>
          <w:p w:rsidR="00E579CB" w:rsidRPr="00E579CB" w:rsidRDefault="00E579CB" w:rsidP="00E579CB">
            <w:pPr>
              <w:spacing w:after="0"/>
              <w:jc w:val="right"/>
              <w:rPr>
                <w:rFonts w:cs="Arial"/>
                <w:szCs w:val="21"/>
                <w:lang w:val="en-US"/>
              </w:rPr>
            </w:pPr>
            <w:r w:rsidRPr="00E579CB">
              <w:rPr>
                <w:rFonts w:cs="Arial"/>
                <w:szCs w:val="21"/>
                <w:lang w:val="en-US"/>
              </w:rPr>
              <w:t>282,135</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rPr>
                <w:rFonts w:cs="Arial"/>
                <w:color w:val="000000"/>
                <w:szCs w:val="21"/>
                <w:lang w:val="en-US"/>
              </w:rPr>
            </w:pPr>
          </w:p>
        </w:tc>
        <w:tc>
          <w:tcPr>
            <w:tcW w:w="1279" w:type="dxa"/>
            <w:tcBorders>
              <w:top w:val="nil"/>
              <w:left w:val="nil"/>
              <w:bottom w:val="nil"/>
              <w:right w:val="nil"/>
            </w:tcBorders>
          </w:tcPr>
          <w:p w:rsidR="00E579CB" w:rsidRPr="00E579CB" w:rsidRDefault="00E579CB" w:rsidP="00E579CB">
            <w:pPr>
              <w:spacing w:after="40" w:line="260" w:lineRule="atLeast"/>
              <w:jc w:val="center"/>
              <w:rPr>
                <w:rFonts w:cs="Arial"/>
                <w:b/>
                <w:bCs/>
                <w:color w:val="000000"/>
                <w:szCs w:val="21"/>
                <w:lang w:val="en-US"/>
              </w:rPr>
            </w:pPr>
          </w:p>
        </w:tc>
        <w:tc>
          <w:tcPr>
            <w:tcW w:w="1358" w:type="dxa"/>
            <w:tcBorders>
              <w:top w:val="nil"/>
              <w:left w:val="nil"/>
              <w:bottom w:val="nil"/>
              <w:right w:val="nil"/>
            </w:tcBorders>
            <w:shd w:val="clear" w:color="auto" w:fill="auto"/>
          </w:tcPr>
          <w:p w:rsidR="00E579CB" w:rsidRPr="00E579CB" w:rsidRDefault="00E579CB" w:rsidP="00E579CB">
            <w:pPr>
              <w:spacing w:after="40" w:line="260" w:lineRule="atLeast"/>
              <w:jc w:val="center"/>
              <w:rPr>
                <w:rFonts w:cs="Arial"/>
                <w:bCs/>
                <w:color w:val="000000"/>
                <w:szCs w:val="21"/>
                <w:lang w:val="en-US"/>
              </w:rPr>
            </w:pPr>
          </w:p>
        </w:tc>
      </w:tr>
      <w:tr w:rsidR="00E579CB" w:rsidRPr="00E579CB" w:rsidTr="00E579CB">
        <w:trPr>
          <w:gridAfter w:val="1"/>
          <w:wAfter w:w="216" w:type="dxa"/>
          <w:trHeight w:val="255"/>
        </w:trPr>
        <w:tc>
          <w:tcPr>
            <w:tcW w:w="8301" w:type="dxa"/>
            <w:gridSpan w:val="4"/>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bCs/>
                <w:color w:val="000000"/>
                <w:szCs w:val="21"/>
                <w:lang w:val="en-US"/>
              </w:rPr>
            </w:pPr>
            <w:r w:rsidRPr="00E579CB">
              <w:rPr>
                <w:rFonts w:cs="Arial"/>
                <w:color w:val="000000"/>
                <w:szCs w:val="21"/>
              </w:rPr>
              <w:t xml:space="preserve">The company had no </w:t>
            </w:r>
            <w:proofErr w:type="gramStart"/>
            <w:r w:rsidRPr="00E579CB">
              <w:rPr>
                <w:rFonts w:cs="Arial"/>
                <w:color w:val="000000"/>
                <w:szCs w:val="21"/>
              </w:rPr>
              <w:t>interest bearing</w:t>
            </w:r>
            <w:proofErr w:type="gramEnd"/>
            <w:r w:rsidRPr="00E579CB">
              <w:rPr>
                <w:rFonts w:cs="Arial"/>
                <w:color w:val="000000"/>
                <w:szCs w:val="21"/>
              </w:rPr>
              <w:t xml:space="preserve"> liabilities at 30 June 2019 (2018: nil).</w:t>
            </w:r>
          </w:p>
        </w:tc>
      </w:tr>
      <w:tr w:rsidR="00E579CB" w:rsidRPr="00E579CB" w:rsidTr="00E579CB">
        <w:trPr>
          <w:gridBefore w:val="1"/>
          <w:wBefore w:w="216" w:type="dxa"/>
          <w:trHeight w:val="255"/>
        </w:trPr>
        <w:tc>
          <w:tcPr>
            <w:tcW w:w="8301" w:type="dxa"/>
            <w:gridSpan w:val="4"/>
            <w:tcBorders>
              <w:top w:val="nil"/>
              <w:left w:val="nil"/>
              <w:bottom w:val="nil"/>
              <w:right w:val="nil"/>
            </w:tcBorders>
            <w:shd w:val="clear" w:color="auto" w:fill="auto"/>
          </w:tcPr>
          <w:p w:rsidR="00E579CB" w:rsidRPr="00E579CB" w:rsidRDefault="00E579CB" w:rsidP="00E579CB">
            <w:pPr>
              <w:spacing w:after="40" w:line="260" w:lineRule="atLeast"/>
              <w:rPr>
                <w:rFonts w:cs="Arial"/>
                <w:b/>
                <w:bCs/>
                <w:color w:val="000000"/>
                <w:szCs w:val="21"/>
                <w:lang w:val="en-US"/>
              </w:rPr>
            </w:pPr>
            <w:r w:rsidRPr="00E579CB">
              <w:rPr>
                <w:rFonts w:cs="Arial"/>
                <w:szCs w:val="21"/>
              </w:rPr>
              <w:br w:type="page"/>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color w:val="000000"/>
                <w:szCs w:val="21"/>
                <w:lang w:val="en-US"/>
              </w:rPr>
            </w:pPr>
            <w:r w:rsidRPr="00E579CB">
              <w:rPr>
                <w:rFonts w:cs="Arial"/>
                <w:b/>
                <w:szCs w:val="21"/>
              </w:rPr>
              <w:t>9 Employee Provisions</w:t>
            </w:r>
          </w:p>
        </w:tc>
        <w:tc>
          <w:tcPr>
            <w:tcW w:w="1279" w:type="dxa"/>
            <w:tcBorders>
              <w:top w:val="nil"/>
              <w:left w:val="nil"/>
              <w:bottom w:val="nil"/>
              <w:right w:val="nil"/>
            </w:tcBorders>
          </w:tcPr>
          <w:p w:rsidR="00E579CB" w:rsidRPr="00E579CB" w:rsidRDefault="00E579CB" w:rsidP="00E579CB">
            <w:pPr>
              <w:spacing w:after="40" w:line="260" w:lineRule="atLeast"/>
              <w:jc w:val="center"/>
              <w:rPr>
                <w:rFonts w:cs="Arial"/>
                <w:b/>
                <w:bCs/>
                <w:color w:val="000000"/>
                <w:szCs w:val="21"/>
                <w:lang w:val="en-US"/>
              </w:rPr>
            </w:pPr>
          </w:p>
        </w:tc>
        <w:tc>
          <w:tcPr>
            <w:tcW w:w="1358" w:type="dxa"/>
            <w:tcBorders>
              <w:top w:val="nil"/>
              <w:left w:val="nil"/>
              <w:bottom w:val="nil"/>
              <w:right w:val="nil"/>
            </w:tcBorders>
            <w:shd w:val="clear" w:color="auto" w:fill="auto"/>
          </w:tcPr>
          <w:p w:rsidR="00E579CB" w:rsidRPr="00E579CB" w:rsidRDefault="00E579CB" w:rsidP="00E579CB">
            <w:pPr>
              <w:spacing w:after="40" w:line="260" w:lineRule="atLeast"/>
              <w:jc w:val="center"/>
              <w:rPr>
                <w:rFonts w:cs="Arial"/>
                <w:bCs/>
                <w:color w:val="000000"/>
                <w:szCs w:val="21"/>
                <w:lang w:val="en-US"/>
              </w:rPr>
            </w:pPr>
          </w:p>
        </w:tc>
      </w:tr>
      <w:tr w:rsidR="00E579CB" w:rsidRPr="00E579CB" w:rsidTr="00E579CB">
        <w:trPr>
          <w:gridAfter w:val="1"/>
          <w:wAfter w:w="216" w:type="dxa"/>
          <w:trHeight w:val="255"/>
        </w:trPr>
        <w:tc>
          <w:tcPr>
            <w:tcW w:w="5664" w:type="dxa"/>
            <w:gridSpan w:val="2"/>
            <w:vMerge w:val="restart"/>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color w:val="000000"/>
                <w:szCs w:val="21"/>
                <w:lang w:val="en-US"/>
              </w:rPr>
            </w:pPr>
          </w:p>
        </w:tc>
        <w:tc>
          <w:tcPr>
            <w:tcW w:w="1279" w:type="dxa"/>
            <w:tcBorders>
              <w:top w:val="nil"/>
              <w:left w:val="nil"/>
              <w:bottom w:val="nil"/>
              <w:right w:val="nil"/>
            </w:tcBorders>
          </w:tcPr>
          <w:p w:rsidR="00E579CB" w:rsidRPr="00E579CB" w:rsidRDefault="00E579CB" w:rsidP="00E579CB">
            <w:pPr>
              <w:spacing w:after="40" w:line="260" w:lineRule="atLeast"/>
              <w:jc w:val="center"/>
              <w:rPr>
                <w:rFonts w:cs="Arial"/>
                <w:b/>
                <w:bCs/>
                <w:color w:val="000000"/>
                <w:szCs w:val="21"/>
                <w:lang w:val="en-US"/>
              </w:rPr>
            </w:pPr>
            <w:r w:rsidRPr="00E579CB">
              <w:rPr>
                <w:rFonts w:cs="Arial"/>
                <w:b/>
                <w:bCs/>
                <w:color w:val="000000"/>
                <w:szCs w:val="21"/>
                <w:lang w:val="en-US"/>
              </w:rPr>
              <w:t>2019</w:t>
            </w:r>
          </w:p>
        </w:tc>
        <w:tc>
          <w:tcPr>
            <w:tcW w:w="1358" w:type="dxa"/>
            <w:tcBorders>
              <w:top w:val="nil"/>
              <w:left w:val="nil"/>
              <w:bottom w:val="nil"/>
              <w:right w:val="nil"/>
            </w:tcBorders>
            <w:shd w:val="clear" w:color="auto" w:fill="auto"/>
          </w:tcPr>
          <w:p w:rsidR="00E579CB" w:rsidRPr="00E579CB" w:rsidRDefault="00E579CB" w:rsidP="00E579CB">
            <w:pPr>
              <w:spacing w:after="40" w:line="260" w:lineRule="atLeast"/>
              <w:jc w:val="center"/>
              <w:rPr>
                <w:rFonts w:cs="Arial"/>
                <w:b/>
                <w:bCs/>
                <w:color w:val="000000"/>
                <w:szCs w:val="21"/>
                <w:lang w:val="en-US"/>
              </w:rPr>
            </w:pPr>
            <w:r w:rsidRPr="00E579CB">
              <w:rPr>
                <w:rFonts w:cs="Arial"/>
                <w:b/>
                <w:bCs/>
                <w:color w:val="000000"/>
                <w:szCs w:val="21"/>
                <w:lang w:val="en-US"/>
              </w:rPr>
              <w:t>2018</w:t>
            </w:r>
          </w:p>
        </w:tc>
      </w:tr>
      <w:tr w:rsidR="00E579CB" w:rsidRPr="00E579CB" w:rsidTr="00E579CB">
        <w:trPr>
          <w:gridAfter w:val="1"/>
          <w:wAfter w:w="216" w:type="dxa"/>
          <w:trHeight w:val="255"/>
        </w:trPr>
        <w:tc>
          <w:tcPr>
            <w:tcW w:w="5664" w:type="dxa"/>
            <w:gridSpan w:val="2"/>
            <w:vMerge/>
            <w:tcBorders>
              <w:top w:val="nil"/>
              <w:left w:val="nil"/>
              <w:bottom w:val="nil"/>
              <w:right w:val="nil"/>
            </w:tcBorders>
            <w:shd w:val="clear" w:color="auto" w:fill="auto"/>
            <w:vAlign w:val="center"/>
          </w:tcPr>
          <w:p w:rsidR="00E579CB" w:rsidRPr="00E579CB" w:rsidRDefault="00E579CB" w:rsidP="00E579CB">
            <w:pPr>
              <w:spacing w:after="40" w:line="260" w:lineRule="atLeast"/>
              <w:ind w:left="-117"/>
              <w:jc w:val="right"/>
              <w:rPr>
                <w:rFonts w:cs="Arial"/>
                <w:color w:val="000000"/>
                <w:szCs w:val="21"/>
                <w:lang w:val="en-US"/>
              </w:rPr>
            </w:pPr>
          </w:p>
        </w:tc>
        <w:tc>
          <w:tcPr>
            <w:tcW w:w="1279" w:type="dxa"/>
            <w:tcBorders>
              <w:top w:val="nil"/>
              <w:left w:val="nil"/>
              <w:bottom w:val="nil"/>
              <w:right w:val="nil"/>
            </w:tcBorders>
          </w:tcPr>
          <w:p w:rsidR="00E579CB" w:rsidRPr="00E579CB" w:rsidRDefault="00E579CB" w:rsidP="00E579CB">
            <w:pPr>
              <w:spacing w:after="40" w:line="260" w:lineRule="atLeast"/>
              <w:jc w:val="center"/>
              <w:rPr>
                <w:rFonts w:cs="Arial"/>
                <w:b/>
                <w:bCs/>
                <w:color w:val="000000"/>
                <w:position w:val="-6"/>
                <w:szCs w:val="21"/>
                <w:lang w:val="en-US"/>
              </w:rPr>
            </w:pPr>
            <w:r w:rsidRPr="00E579CB">
              <w:rPr>
                <w:rFonts w:cs="Arial"/>
                <w:b/>
                <w:bCs/>
                <w:color w:val="000000"/>
                <w:position w:val="-6"/>
                <w:szCs w:val="21"/>
                <w:lang w:val="en-US"/>
              </w:rPr>
              <w:t>$</w:t>
            </w:r>
          </w:p>
        </w:tc>
        <w:tc>
          <w:tcPr>
            <w:tcW w:w="1358" w:type="dxa"/>
            <w:tcBorders>
              <w:top w:val="nil"/>
              <w:left w:val="nil"/>
              <w:bottom w:val="nil"/>
              <w:right w:val="nil"/>
            </w:tcBorders>
            <w:shd w:val="clear" w:color="auto" w:fill="auto"/>
          </w:tcPr>
          <w:p w:rsidR="00E579CB" w:rsidRPr="00E579CB" w:rsidRDefault="00E579CB" w:rsidP="00E579CB">
            <w:pPr>
              <w:spacing w:after="40" w:line="260" w:lineRule="atLeast"/>
              <w:jc w:val="center"/>
              <w:rPr>
                <w:rFonts w:cs="Arial"/>
                <w:b/>
                <w:bCs/>
                <w:color w:val="000000"/>
                <w:position w:val="-6"/>
                <w:szCs w:val="21"/>
                <w:lang w:val="en-US"/>
              </w:rPr>
            </w:pPr>
            <w:r w:rsidRPr="00E579CB">
              <w:rPr>
                <w:rFonts w:cs="Arial"/>
                <w:b/>
                <w:bCs/>
                <w:color w:val="000000"/>
                <w:position w:val="-6"/>
                <w:szCs w:val="21"/>
                <w:lang w:val="en-US"/>
              </w:rPr>
              <w:t>$</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color w:val="000000"/>
                <w:szCs w:val="21"/>
                <w:lang w:val="en-US"/>
              </w:rPr>
            </w:pPr>
            <w:r w:rsidRPr="00E579CB">
              <w:rPr>
                <w:rFonts w:cs="Arial"/>
                <w:color w:val="000000"/>
                <w:szCs w:val="21"/>
                <w:lang w:val="en-US"/>
              </w:rPr>
              <w:t>Current employee provisions</w:t>
            </w:r>
          </w:p>
        </w:tc>
        <w:tc>
          <w:tcPr>
            <w:tcW w:w="1279" w:type="dxa"/>
            <w:tcBorders>
              <w:top w:val="nil"/>
              <w:left w:val="nil"/>
              <w:right w:val="nil"/>
            </w:tcBorders>
          </w:tcPr>
          <w:p w:rsidR="00E579CB" w:rsidRPr="00E579CB" w:rsidRDefault="00E579CB" w:rsidP="00E579CB">
            <w:pPr>
              <w:spacing w:after="40" w:line="260" w:lineRule="atLeast"/>
              <w:rPr>
                <w:rFonts w:cs="Arial"/>
                <w:color w:val="000000"/>
                <w:szCs w:val="21"/>
                <w:lang w:val="en-US"/>
              </w:rPr>
            </w:pPr>
          </w:p>
        </w:tc>
        <w:tc>
          <w:tcPr>
            <w:tcW w:w="1358" w:type="dxa"/>
            <w:tcBorders>
              <w:top w:val="nil"/>
              <w:left w:val="nil"/>
              <w:right w:val="nil"/>
            </w:tcBorders>
            <w:shd w:val="clear" w:color="auto" w:fill="auto"/>
          </w:tcPr>
          <w:p w:rsidR="00E579CB" w:rsidRPr="00E579CB" w:rsidRDefault="00E579CB" w:rsidP="00E579CB">
            <w:pPr>
              <w:spacing w:after="40" w:line="260" w:lineRule="atLeast"/>
              <w:rPr>
                <w:rFonts w:cs="Arial"/>
                <w:color w:val="000000"/>
                <w:szCs w:val="21"/>
                <w:lang w:val="en-US"/>
              </w:rPr>
            </w:pP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color w:val="000000"/>
                <w:szCs w:val="21"/>
                <w:lang w:val="en-US"/>
              </w:rPr>
            </w:pPr>
            <w:r w:rsidRPr="00E579CB">
              <w:rPr>
                <w:rFonts w:cs="Arial"/>
                <w:color w:val="000000"/>
                <w:szCs w:val="21"/>
                <w:lang w:val="en-US"/>
              </w:rPr>
              <w:t>- Annual Leave</w:t>
            </w:r>
          </w:p>
        </w:tc>
        <w:tc>
          <w:tcPr>
            <w:tcW w:w="1279"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178,905</w:t>
            </w:r>
          </w:p>
        </w:tc>
        <w:tc>
          <w:tcPr>
            <w:tcW w:w="1358"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120,859</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color w:val="000000"/>
                <w:szCs w:val="21"/>
                <w:lang w:val="en-US"/>
              </w:rPr>
            </w:pPr>
            <w:r w:rsidRPr="00E579CB">
              <w:rPr>
                <w:rFonts w:cs="Arial"/>
                <w:color w:val="000000"/>
                <w:szCs w:val="21"/>
                <w:lang w:val="en-US"/>
              </w:rPr>
              <w:t>- Long Service Leave</w:t>
            </w:r>
          </w:p>
        </w:tc>
        <w:tc>
          <w:tcPr>
            <w:tcW w:w="1279" w:type="dxa"/>
            <w:tcBorders>
              <w:left w:val="nil"/>
              <w:bottom w:val="single" w:sz="4" w:space="0" w:color="auto"/>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88,175</w:t>
            </w:r>
          </w:p>
        </w:tc>
        <w:tc>
          <w:tcPr>
            <w:tcW w:w="1358" w:type="dxa"/>
            <w:tcBorders>
              <w:left w:val="nil"/>
              <w:bottom w:val="single" w:sz="4" w:space="0" w:color="auto"/>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54,825</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color w:val="000000"/>
                <w:szCs w:val="21"/>
                <w:lang w:val="en-US"/>
              </w:rPr>
            </w:pPr>
          </w:p>
        </w:tc>
        <w:tc>
          <w:tcPr>
            <w:tcW w:w="1279" w:type="dxa"/>
            <w:tcBorders>
              <w:top w:val="single" w:sz="4" w:space="0" w:color="auto"/>
              <w:left w:val="nil"/>
              <w:bottom w:val="double" w:sz="4" w:space="0" w:color="auto"/>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267,080</w:t>
            </w:r>
          </w:p>
        </w:tc>
        <w:tc>
          <w:tcPr>
            <w:tcW w:w="1358" w:type="dxa"/>
            <w:tcBorders>
              <w:top w:val="single" w:sz="4" w:space="0" w:color="auto"/>
              <w:left w:val="nil"/>
              <w:bottom w:val="double" w:sz="4" w:space="0" w:color="auto"/>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175,684</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color w:val="000000"/>
                <w:szCs w:val="21"/>
                <w:lang w:val="en-US"/>
              </w:rPr>
            </w:pPr>
          </w:p>
        </w:tc>
        <w:tc>
          <w:tcPr>
            <w:tcW w:w="1279" w:type="dxa"/>
            <w:tcBorders>
              <w:top w:val="double" w:sz="4" w:space="0" w:color="auto"/>
              <w:left w:val="nil"/>
              <w:bottom w:val="nil"/>
              <w:right w:val="nil"/>
            </w:tcBorders>
            <w:vAlign w:val="center"/>
          </w:tcPr>
          <w:p w:rsidR="00E579CB" w:rsidRPr="00E579CB" w:rsidRDefault="00E579CB" w:rsidP="00E579CB">
            <w:pPr>
              <w:spacing w:after="40" w:line="260" w:lineRule="atLeast"/>
              <w:jc w:val="right"/>
              <w:rPr>
                <w:rFonts w:cs="Arial"/>
                <w:b/>
                <w:color w:val="000000"/>
                <w:position w:val="-6"/>
                <w:szCs w:val="21"/>
                <w:highlight w:val="yellow"/>
                <w:lang w:val="en-US"/>
              </w:rPr>
            </w:pPr>
          </w:p>
        </w:tc>
        <w:tc>
          <w:tcPr>
            <w:tcW w:w="1358" w:type="dxa"/>
            <w:tcBorders>
              <w:top w:val="double" w:sz="4" w:space="0" w:color="auto"/>
              <w:left w:val="nil"/>
              <w:bottom w:val="nil"/>
              <w:right w:val="nil"/>
            </w:tcBorders>
            <w:vAlign w:val="center"/>
          </w:tcPr>
          <w:p w:rsidR="00E579CB" w:rsidRPr="00E579CB" w:rsidRDefault="00E579CB" w:rsidP="00E579CB">
            <w:pPr>
              <w:spacing w:after="40" w:line="260" w:lineRule="atLeast"/>
              <w:jc w:val="right"/>
              <w:rPr>
                <w:rFonts w:cs="Arial"/>
                <w:b/>
                <w:color w:val="000000"/>
                <w:position w:val="-6"/>
                <w:szCs w:val="21"/>
                <w:highlight w:val="yellow"/>
                <w:lang w:val="en-US"/>
              </w:rPr>
            </w:pP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color w:val="000000"/>
                <w:szCs w:val="21"/>
                <w:lang w:val="en-US"/>
              </w:rPr>
            </w:pPr>
            <w:r w:rsidRPr="00E579CB">
              <w:rPr>
                <w:rFonts w:cs="Arial"/>
                <w:color w:val="000000"/>
                <w:szCs w:val="21"/>
                <w:lang w:val="en-US"/>
              </w:rPr>
              <w:t>Non-current employee provisions</w:t>
            </w:r>
          </w:p>
        </w:tc>
        <w:tc>
          <w:tcPr>
            <w:tcW w:w="1279" w:type="dxa"/>
            <w:tcBorders>
              <w:top w:val="nil"/>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c>
          <w:tcPr>
            <w:tcW w:w="1358" w:type="dxa"/>
            <w:tcBorders>
              <w:top w:val="nil"/>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vAlign w:val="center"/>
          </w:tcPr>
          <w:p w:rsidR="00E579CB" w:rsidRPr="00E579CB" w:rsidRDefault="00E579CB" w:rsidP="00E579CB">
            <w:pPr>
              <w:spacing w:after="40" w:line="260" w:lineRule="atLeast"/>
              <w:ind w:left="-117"/>
              <w:rPr>
                <w:rFonts w:cs="Arial"/>
                <w:color w:val="000000"/>
                <w:szCs w:val="21"/>
                <w:lang w:val="en-US"/>
              </w:rPr>
            </w:pPr>
            <w:r w:rsidRPr="00E579CB">
              <w:rPr>
                <w:rFonts w:cs="Arial"/>
                <w:color w:val="000000"/>
                <w:szCs w:val="21"/>
                <w:lang w:val="en-US"/>
              </w:rPr>
              <w:t>- Long Service Leave</w:t>
            </w:r>
          </w:p>
        </w:tc>
        <w:tc>
          <w:tcPr>
            <w:tcW w:w="1279" w:type="dxa"/>
            <w:tcBorders>
              <w:left w:val="nil"/>
              <w:bottom w:val="single" w:sz="4" w:space="0" w:color="auto"/>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41,269</w:t>
            </w:r>
          </w:p>
        </w:tc>
        <w:tc>
          <w:tcPr>
            <w:tcW w:w="1358" w:type="dxa"/>
            <w:tcBorders>
              <w:left w:val="nil"/>
              <w:bottom w:val="single" w:sz="4" w:space="0" w:color="auto"/>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41,169</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color w:val="000000"/>
                <w:szCs w:val="21"/>
                <w:lang w:val="en-US"/>
              </w:rPr>
            </w:pPr>
            <w:r w:rsidRPr="00E579CB">
              <w:rPr>
                <w:rFonts w:cs="Arial"/>
                <w:color w:val="000000"/>
                <w:szCs w:val="21"/>
                <w:lang w:val="en-US"/>
              </w:rPr>
              <w:t>Total employee provisions</w:t>
            </w:r>
          </w:p>
        </w:tc>
        <w:tc>
          <w:tcPr>
            <w:tcW w:w="1279" w:type="dxa"/>
            <w:tcBorders>
              <w:top w:val="single" w:sz="4" w:space="0" w:color="auto"/>
              <w:left w:val="nil"/>
              <w:bottom w:val="double" w:sz="4" w:space="0" w:color="auto"/>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308,349</w:t>
            </w:r>
          </w:p>
        </w:tc>
        <w:tc>
          <w:tcPr>
            <w:tcW w:w="1358" w:type="dxa"/>
            <w:tcBorders>
              <w:top w:val="single" w:sz="4" w:space="0" w:color="auto"/>
              <w:left w:val="nil"/>
              <w:bottom w:val="double" w:sz="4" w:space="0" w:color="auto"/>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216,853</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color w:val="000000"/>
                <w:szCs w:val="21"/>
                <w:lang w:val="en-US"/>
              </w:rPr>
            </w:pPr>
          </w:p>
        </w:tc>
        <w:tc>
          <w:tcPr>
            <w:tcW w:w="1279" w:type="dxa"/>
            <w:tcBorders>
              <w:left w:val="nil"/>
              <w:right w:val="nil"/>
            </w:tcBorders>
            <w:vAlign w:val="center"/>
          </w:tcPr>
          <w:p w:rsidR="00E579CB" w:rsidRPr="00E579CB" w:rsidRDefault="00E579CB" w:rsidP="00E579CB">
            <w:pPr>
              <w:spacing w:after="40" w:line="260" w:lineRule="atLeast"/>
              <w:jc w:val="right"/>
              <w:rPr>
                <w:rFonts w:cs="Arial"/>
                <w:b/>
                <w:color w:val="000000"/>
                <w:szCs w:val="21"/>
                <w:lang w:val="en-US"/>
              </w:rPr>
            </w:pPr>
          </w:p>
        </w:tc>
        <w:tc>
          <w:tcPr>
            <w:tcW w:w="1358" w:type="dxa"/>
            <w:tcBorders>
              <w:left w:val="nil"/>
              <w:right w:val="nil"/>
            </w:tcBorders>
            <w:vAlign w:val="center"/>
          </w:tcPr>
          <w:p w:rsidR="00E579CB" w:rsidRPr="00E579CB" w:rsidRDefault="00E579CB" w:rsidP="00E579CB">
            <w:pPr>
              <w:spacing w:after="40" w:line="260" w:lineRule="atLeast"/>
              <w:jc w:val="right"/>
              <w:rPr>
                <w:rFonts w:cs="Arial"/>
                <w:b/>
                <w:color w:val="000000"/>
                <w:szCs w:val="21"/>
                <w:lang w:val="en-US"/>
              </w:rPr>
            </w:pP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685439" w:rsidRDefault="00685439" w:rsidP="00E579CB">
            <w:pPr>
              <w:spacing w:after="40" w:line="260" w:lineRule="atLeast"/>
              <w:ind w:left="-117"/>
              <w:rPr>
                <w:rFonts w:cs="Arial"/>
                <w:b/>
                <w:szCs w:val="21"/>
              </w:rPr>
            </w:pPr>
          </w:p>
          <w:p w:rsidR="00E579CB" w:rsidRPr="00E579CB" w:rsidRDefault="00E579CB" w:rsidP="00E579CB">
            <w:pPr>
              <w:spacing w:after="40" w:line="260" w:lineRule="atLeast"/>
              <w:ind w:left="-117"/>
              <w:rPr>
                <w:rFonts w:cs="Arial"/>
                <w:b/>
                <w:color w:val="000000"/>
                <w:szCs w:val="21"/>
                <w:lang w:val="en-US"/>
              </w:rPr>
            </w:pPr>
            <w:r w:rsidRPr="00E579CB">
              <w:rPr>
                <w:rFonts w:cs="Arial"/>
                <w:b/>
                <w:szCs w:val="21"/>
              </w:rPr>
              <w:lastRenderedPageBreak/>
              <w:t>10 Deferred Revenue</w:t>
            </w:r>
          </w:p>
        </w:tc>
        <w:tc>
          <w:tcPr>
            <w:tcW w:w="1279" w:type="dxa"/>
            <w:tcBorders>
              <w:left w:val="nil"/>
              <w:right w:val="nil"/>
            </w:tcBorders>
            <w:vAlign w:val="center"/>
          </w:tcPr>
          <w:p w:rsidR="00E579CB" w:rsidRPr="00E579CB" w:rsidRDefault="00E579CB" w:rsidP="00E579CB">
            <w:pPr>
              <w:spacing w:after="40" w:line="260" w:lineRule="atLeast"/>
              <w:jc w:val="right"/>
              <w:rPr>
                <w:rFonts w:cs="Arial"/>
                <w:b/>
                <w:color w:val="000000"/>
                <w:szCs w:val="21"/>
                <w:lang w:val="en-US"/>
              </w:rPr>
            </w:pPr>
          </w:p>
        </w:tc>
        <w:tc>
          <w:tcPr>
            <w:tcW w:w="1358" w:type="dxa"/>
            <w:tcBorders>
              <w:left w:val="nil"/>
              <w:right w:val="nil"/>
            </w:tcBorders>
            <w:vAlign w:val="center"/>
          </w:tcPr>
          <w:p w:rsidR="00E579CB" w:rsidRPr="00E579CB" w:rsidRDefault="00E579CB" w:rsidP="00E579CB">
            <w:pPr>
              <w:spacing w:after="40" w:line="260" w:lineRule="atLeast"/>
              <w:jc w:val="right"/>
              <w:rPr>
                <w:rFonts w:cs="Arial"/>
                <w:b/>
                <w:color w:val="000000"/>
                <w:szCs w:val="21"/>
                <w:lang w:val="en-US"/>
              </w:rPr>
            </w:pP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szCs w:val="21"/>
              </w:rPr>
            </w:pPr>
            <w:r w:rsidRPr="00E579CB">
              <w:rPr>
                <w:rFonts w:cs="Arial"/>
                <w:szCs w:val="21"/>
              </w:rPr>
              <w:t>NDIS grants in advance</w:t>
            </w:r>
          </w:p>
        </w:tc>
        <w:tc>
          <w:tcPr>
            <w:tcW w:w="1279"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481,701</w:t>
            </w:r>
          </w:p>
        </w:tc>
        <w:tc>
          <w:tcPr>
            <w:tcW w:w="1358"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szCs w:val="21"/>
              </w:rPr>
            </w:pPr>
            <w:r w:rsidRPr="00E579CB">
              <w:rPr>
                <w:rFonts w:cs="Arial"/>
                <w:szCs w:val="21"/>
              </w:rPr>
              <w:t>Tenancy Matching commitments in advance</w:t>
            </w:r>
          </w:p>
        </w:tc>
        <w:tc>
          <w:tcPr>
            <w:tcW w:w="1279" w:type="dxa"/>
            <w:tcBorders>
              <w:left w:val="nil"/>
              <w:bottom w:val="single" w:sz="4" w:space="0" w:color="auto"/>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58,400</w:t>
            </w:r>
          </w:p>
        </w:tc>
        <w:tc>
          <w:tcPr>
            <w:tcW w:w="1358" w:type="dxa"/>
            <w:tcBorders>
              <w:left w:val="nil"/>
              <w:bottom w:val="single" w:sz="4" w:space="0" w:color="auto"/>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szCs w:val="21"/>
              </w:rPr>
            </w:pPr>
          </w:p>
        </w:tc>
        <w:tc>
          <w:tcPr>
            <w:tcW w:w="1279" w:type="dxa"/>
            <w:tcBorders>
              <w:top w:val="single" w:sz="4" w:space="0" w:color="auto"/>
              <w:left w:val="nil"/>
              <w:bottom w:val="double" w:sz="4" w:space="0" w:color="auto"/>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540,101</w:t>
            </w:r>
          </w:p>
        </w:tc>
        <w:tc>
          <w:tcPr>
            <w:tcW w:w="1358" w:type="dxa"/>
            <w:tcBorders>
              <w:top w:val="single" w:sz="4" w:space="0" w:color="auto"/>
              <w:left w:val="nil"/>
              <w:bottom w:val="double" w:sz="4" w:space="0" w:color="auto"/>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szCs w:val="21"/>
              </w:rPr>
            </w:pPr>
          </w:p>
        </w:tc>
        <w:tc>
          <w:tcPr>
            <w:tcW w:w="1279" w:type="dxa"/>
            <w:tcBorders>
              <w:top w:val="double" w:sz="4" w:space="0" w:color="auto"/>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c>
          <w:tcPr>
            <w:tcW w:w="1358" w:type="dxa"/>
            <w:tcBorders>
              <w:top w:val="double" w:sz="4" w:space="0" w:color="auto"/>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b/>
                <w:szCs w:val="21"/>
              </w:rPr>
            </w:pPr>
          </w:p>
        </w:tc>
        <w:tc>
          <w:tcPr>
            <w:tcW w:w="1279"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c>
          <w:tcPr>
            <w:tcW w:w="1358"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b/>
                <w:szCs w:val="21"/>
              </w:rPr>
            </w:pPr>
          </w:p>
        </w:tc>
        <w:tc>
          <w:tcPr>
            <w:tcW w:w="1279"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c>
          <w:tcPr>
            <w:tcW w:w="1358"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b/>
                <w:szCs w:val="21"/>
              </w:rPr>
            </w:pPr>
          </w:p>
        </w:tc>
        <w:tc>
          <w:tcPr>
            <w:tcW w:w="1279"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c>
          <w:tcPr>
            <w:tcW w:w="1358"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b/>
                <w:szCs w:val="21"/>
              </w:rPr>
            </w:pPr>
            <w:r w:rsidRPr="00E579CB">
              <w:rPr>
                <w:rFonts w:cs="Arial"/>
                <w:b/>
                <w:bCs/>
                <w:color w:val="000000"/>
                <w:szCs w:val="21"/>
                <w:lang w:eastAsia="en-AU"/>
              </w:rPr>
              <w:t>Notes to the Financial Statements</w:t>
            </w:r>
          </w:p>
        </w:tc>
        <w:tc>
          <w:tcPr>
            <w:tcW w:w="1279"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c>
          <w:tcPr>
            <w:tcW w:w="1358"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b/>
                <w:szCs w:val="21"/>
              </w:rPr>
            </w:pPr>
          </w:p>
        </w:tc>
        <w:tc>
          <w:tcPr>
            <w:tcW w:w="1279" w:type="dxa"/>
            <w:tcBorders>
              <w:left w:val="nil"/>
              <w:right w:val="nil"/>
            </w:tcBorders>
            <w:vAlign w:val="center"/>
          </w:tcPr>
          <w:p w:rsidR="00E579CB" w:rsidRPr="00E579CB" w:rsidRDefault="00E579CB" w:rsidP="00E579CB">
            <w:pPr>
              <w:spacing w:after="40" w:line="260" w:lineRule="atLeast"/>
              <w:jc w:val="center"/>
              <w:rPr>
                <w:rFonts w:cs="Arial"/>
                <w:color w:val="000000"/>
                <w:szCs w:val="21"/>
                <w:lang w:val="en-US"/>
              </w:rPr>
            </w:pPr>
            <w:r w:rsidRPr="00E579CB">
              <w:rPr>
                <w:rFonts w:cs="Arial"/>
                <w:b/>
                <w:bCs/>
                <w:color w:val="000000"/>
                <w:szCs w:val="21"/>
                <w:lang w:val="en-US"/>
              </w:rPr>
              <w:t>2019</w:t>
            </w:r>
          </w:p>
        </w:tc>
        <w:tc>
          <w:tcPr>
            <w:tcW w:w="1358" w:type="dxa"/>
            <w:tcBorders>
              <w:left w:val="nil"/>
              <w:right w:val="nil"/>
            </w:tcBorders>
            <w:vAlign w:val="center"/>
          </w:tcPr>
          <w:p w:rsidR="00E579CB" w:rsidRPr="00E579CB" w:rsidRDefault="00E579CB" w:rsidP="00E579CB">
            <w:pPr>
              <w:spacing w:after="40" w:line="260" w:lineRule="atLeast"/>
              <w:jc w:val="center"/>
              <w:rPr>
                <w:rFonts w:cs="Arial"/>
                <w:color w:val="000000"/>
                <w:szCs w:val="21"/>
                <w:lang w:val="en-US"/>
              </w:rPr>
            </w:pPr>
            <w:r w:rsidRPr="00E579CB">
              <w:rPr>
                <w:rFonts w:cs="Arial"/>
                <w:b/>
                <w:bCs/>
                <w:color w:val="000000"/>
                <w:szCs w:val="21"/>
                <w:lang w:val="en-US"/>
              </w:rPr>
              <w:t>2018</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b/>
                <w:szCs w:val="21"/>
              </w:rPr>
            </w:pPr>
          </w:p>
        </w:tc>
        <w:tc>
          <w:tcPr>
            <w:tcW w:w="1279" w:type="dxa"/>
            <w:tcBorders>
              <w:left w:val="nil"/>
              <w:right w:val="nil"/>
            </w:tcBorders>
            <w:vAlign w:val="center"/>
          </w:tcPr>
          <w:p w:rsidR="00E579CB" w:rsidRPr="00E579CB" w:rsidRDefault="00E579CB" w:rsidP="00E579CB">
            <w:pPr>
              <w:spacing w:after="40" w:line="260" w:lineRule="atLeast"/>
              <w:jc w:val="center"/>
              <w:rPr>
                <w:rFonts w:cs="Arial"/>
                <w:color w:val="000000"/>
                <w:szCs w:val="21"/>
                <w:lang w:val="en-US"/>
              </w:rPr>
            </w:pPr>
            <w:r w:rsidRPr="00E579CB">
              <w:rPr>
                <w:rFonts w:cs="Arial"/>
                <w:b/>
                <w:bCs/>
                <w:color w:val="000000"/>
                <w:position w:val="-6"/>
                <w:szCs w:val="21"/>
                <w:lang w:val="en-US"/>
              </w:rPr>
              <w:t>$</w:t>
            </w:r>
          </w:p>
        </w:tc>
        <w:tc>
          <w:tcPr>
            <w:tcW w:w="1358" w:type="dxa"/>
            <w:tcBorders>
              <w:left w:val="nil"/>
              <w:right w:val="nil"/>
            </w:tcBorders>
            <w:vAlign w:val="center"/>
          </w:tcPr>
          <w:p w:rsidR="00E579CB" w:rsidRPr="00E579CB" w:rsidRDefault="00E579CB" w:rsidP="00E579CB">
            <w:pPr>
              <w:spacing w:after="40" w:line="260" w:lineRule="atLeast"/>
              <w:jc w:val="center"/>
              <w:rPr>
                <w:rFonts w:cs="Arial"/>
                <w:color w:val="000000"/>
                <w:szCs w:val="21"/>
                <w:lang w:val="en-US"/>
              </w:rPr>
            </w:pPr>
            <w:r w:rsidRPr="00E579CB">
              <w:rPr>
                <w:rFonts w:cs="Arial"/>
                <w:b/>
                <w:bCs/>
                <w:color w:val="000000"/>
                <w:position w:val="-6"/>
                <w:szCs w:val="21"/>
                <w:lang w:val="en-US"/>
              </w:rPr>
              <w:t>$</w:t>
            </w: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szCs w:val="21"/>
              </w:rPr>
            </w:pPr>
            <w:r w:rsidRPr="00E579CB">
              <w:rPr>
                <w:rFonts w:cs="Arial"/>
                <w:b/>
                <w:szCs w:val="21"/>
              </w:rPr>
              <w:t>11 Other Current Liabilities</w:t>
            </w:r>
          </w:p>
        </w:tc>
        <w:tc>
          <w:tcPr>
            <w:tcW w:w="1279"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c>
          <w:tcPr>
            <w:tcW w:w="1358"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p>
        </w:tc>
      </w:tr>
      <w:tr w:rsidR="00E579CB" w:rsidRPr="00E579CB" w:rsidTr="00E579CB">
        <w:trPr>
          <w:gridAfter w:val="1"/>
          <w:wAfter w:w="216" w:type="dxa"/>
          <w:trHeight w:val="255"/>
        </w:trPr>
        <w:tc>
          <w:tcPr>
            <w:tcW w:w="5664" w:type="dxa"/>
            <w:gridSpan w:val="2"/>
            <w:tcBorders>
              <w:top w:val="nil"/>
              <w:left w:val="nil"/>
              <w:bottom w:val="nil"/>
              <w:right w:val="nil"/>
            </w:tcBorders>
            <w:shd w:val="clear" w:color="auto" w:fill="auto"/>
          </w:tcPr>
          <w:p w:rsidR="00E579CB" w:rsidRPr="00E579CB" w:rsidRDefault="00E579CB" w:rsidP="00E579CB">
            <w:pPr>
              <w:spacing w:after="40" w:line="260" w:lineRule="atLeast"/>
              <w:ind w:left="-117"/>
              <w:rPr>
                <w:rFonts w:cs="Arial"/>
                <w:szCs w:val="21"/>
              </w:rPr>
            </w:pPr>
            <w:r w:rsidRPr="00E579CB">
              <w:rPr>
                <w:rFonts w:cs="Arial"/>
                <w:szCs w:val="21"/>
              </w:rPr>
              <w:t>Allen Martin Research Scholarship</w:t>
            </w:r>
          </w:p>
        </w:tc>
        <w:tc>
          <w:tcPr>
            <w:tcW w:w="1279"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3,400</w:t>
            </w:r>
          </w:p>
        </w:tc>
        <w:tc>
          <w:tcPr>
            <w:tcW w:w="1358" w:type="dxa"/>
            <w:tcBorders>
              <w:left w:val="nil"/>
              <w:right w:val="nil"/>
            </w:tcBorders>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5,400</w:t>
            </w:r>
          </w:p>
        </w:tc>
      </w:tr>
      <w:tr w:rsidR="00E579CB" w:rsidRPr="00E579CB" w:rsidTr="00E579CB">
        <w:trPr>
          <w:gridAfter w:val="1"/>
          <w:wAfter w:w="216" w:type="dxa"/>
          <w:trHeight w:val="255"/>
        </w:trPr>
        <w:tc>
          <w:tcPr>
            <w:tcW w:w="5664" w:type="dxa"/>
            <w:gridSpan w:val="2"/>
            <w:tcBorders>
              <w:left w:val="nil"/>
              <w:bottom w:val="nil"/>
              <w:right w:val="nil"/>
            </w:tcBorders>
            <w:shd w:val="clear" w:color="auto" w:fill="auto"/>
          </w:tcPr>
          <w:p w:rsidR="00E579CB" w:rsidRPr="00E579CB" w:rsidRDefault="00E579CB" w:rsidP="00E579CB">
            <w:pPr>
              <w:spacing w:after="40" w:line="260" w:lineRule="atLeast"/>
              <w:rPr>
                <w:rFonts w:cs="Arial"/>
                <w:b/>
                <w:szCs w:val="21"/>
              </w:rPr>
            </w:pPr>
          </w:p>
        </w:tc>
        <w:tc>
          <w:tcPr>
            <w:tcW w:w="1279" w:type="dxa"/>
            <w:tcBorders>
              <w:top w:val="single" w:sz="4" w:space="0" w:color="auto"/>
              <w:left w:val="nil"/>
              <w:bottom w:val="double" w:sz="4" w:space="0" w:color="auto"/>
              <w:right w:val="nil"/>
            </w:tcBorders>
            <w:vAlign w:val="center"/>
          </w:tcPr>
          <w:p w:rsidR="00E579CB" w:rsidRPr="00E579CB" w:rsidRDefault="00E579CB" w:rsidP="00E579CB">
            <w:pPr>
              <w:spacing w:after="40" w:line="260" w:lineRule="atLeast"/>
              <w:jc w:val="right"/>
              <w:rPr>
                <w:rFonts w:cs="Arial"/>
                <w:b/>
                <w:color w:val="000000"/>
                <w:szCs w:val="21"/>
                <w:lang w:val="en-US"/>
              </w:rPr>
            </w:pPr>
            <w:r w:rsidRPr="00E579CB">
              <w:rPr>
                <w:rFonts w:cs="Arial"/>
                <w:color w:val="000000"/>
                <w:position w:val="-6"/>
                <w:szCs w:val="21"/>
                <w:lang w:val="en-US"/>
              </w:rPr>
              <w:t>3,400</w:t>
            </w:r>
          </w:p>
        </w:tc>
        <w:tc>
          <w:tcPr>
            <w:tcW w:w="1358" w:type="dxa"/>
            <w:tcBorders>
              <w:top w:val="single" w:sz="4" w:space="0" w:color="auto"/>
              <w:left w:val="nil"/>
              <w:bottom w:val="double" w:sz="4" w:space="0" w:color="auto"/>
              <w:right w:val="nil"/>
            </w:tcBorders>
            <w:shd w:val="clear" w:color="auto" w:fill="auto"/>
            <w:vAlign w:val="center"/>
          </w:tcPr>
          <w:p w:rsidR="00E579CB" w:rsidRPr="00E579CB" w:rsidRDefault="00E579CB" w:rsidP="00E579CB">
            <w:pPr>
              <w:spacing w:after="40" w:line="260" w:lineRule="atLeast"/>
              <w:jc w:val="right"/>
              <w:rPr>
                <w:rFonts w:cs="Arial"/>
                <w:color w:val="000000"/>
                <w:szCs w:val="21"/>
                <w:lang w:val="en-US"/>
              </w:rPr>
            </w:pPr>
            <w:r w:rsidRPr="00E579CB">
              <w:rPr>
                <w:rFonts w:cs="Arial"/>
                <w:color w:val="000000"/>
                <w:szCs w:val="21"/>
                <w:lang w:val="en-US"/>
              </w:rPr>
              <w:t>5,400</w:t>
            </w:r>
          </w:p>
        </w:tc>
      </w:tr>
      <w:tr w:rsidR="00E579CB" w:rsidRPr="00E579CB" w:rsidTr="00E579CB">
        <w:tblPrEx>
          <w:tblCellMar>
            <w:left w:w="0" w:type="dxa"/>
            <w:right w:w="0" w:type="dxa"/>
          </w:tblCellMar>
        </w:tblPrEx>
        <w:trPr>
          <w:gridBefore w:val="1"/>
          <w:wBefore w:w="216" w:type="dxa"/>
        </w:trPr>
        <w:tc>
          <w:tcPr>
            <w:tcW w:w="8301" w:type="dxa"/>
            <w:gridSpan w:val="4"/>
            <w:tcBorders>
              <w:top w:val="nil"/>
              <w:left w:val="nil"/>
              <w:bottom w:val="nil"/>
              <w:right w:val="nil"/>
            </w:tcBorders>
          </w:tcPr>
          <w:p w:rsidR="00E579CB" w:rsidRPr="00E579CB" w:rsidRDefault="00E579CB" w:rsidP="00E579CB">
            <w:pPr>
              <w:pStyle w:val="Heading-Note"/>
              <w:tabs>
                <w:tab w:val="left" w:pos="566"/>
              </w:tabs>
              <w:spacing w:before="0" w:after="40" w:line="260" w:lineRule="atLeast"/>
              <w:rPr>
                <w:rFonts w:ascii="Helvetica Neue" w:hAnsi="Helvetica Neue" w:cs="Arial"/>
                <w:sz w:val="21"/>
                <w:szCs w:val="21"/>
              </w:rPr>
            </w:pPr>
          </w:p>
        </w:tc>
      </w:tr>
    </w:tbl>
    <w:p w:rsidR="00E579CB" w:rsidRPr="00E579CB" w:rsidRDefault="00E579CB" w:rsidP="00E579CB">
      <w:pPr>
        <w:pStyle w:val="Heading-Note"/>
        <w:tabs>
          <w:tab w:val="left" w:pos="566"/>
        </w:tabs>
        <w:spacing w:before="0" w:after="120" w:line="280" w:lineRule="atLeast"/>
        <w:rPr>
          <w:rFonts w:ascii="Helvetica Neue" w:hAnsi="Helvetica Neue" w:cs="Arial"/>
          <w:sz w:val="21"/>
          <w:szCs w:val="21"/>
        </w:rPr>
      </w:pPr>
      <w:r w:rsidRPr="00E579CB">
        <w:rPr>
          <w:rFonts w:ascii="Helvetica Neue" w:hAnsi="Helvetica Neue" w:cs="Arial"/>
          <w:sz w:val="21"/>
          <w:szCs w:val="21"/>
        </w:rPr>
        <w:t>12 Related Party Transactions</w:t>
      </w:r>
    </w:p>
    <w:p w:rsidR="00E579CB" w:rsidRPr="00E579CB" w:rsidRDefault="00E579CB" w:rsidP="002E5863">
      <w:pPr>
        <w:numPr>
          <w:ilvl w:val="3"/>
          <w:numId w:val="8"/>
        </w:numPr>
        <w:spacing w:line="280" w:lineRule="atLeast"/>
        <w:rPr>
          <w:rFonts w:cs="Arial"/>
          <w:b/>
          <w:color w:val="000000"/>
          <w:szCs w:val="21"/>
          <w:lang w:val="en-US"/>
        </w:rPr>
      </w:pPr>
      <w:r w:rsidRPr="00E579CB">
        <w:rPr>
          <w:rFonts w:cs="Arial"/>
          <w:b/>
          <w:color w:val="000000"/>
          <w:szCs w:val="21"/>
          <w:lang w:val="en-US"/>
        </w:rPr>
        <w:t>Key Management Personnel</w:t>
      </w:r>
    </w:p>
    <w:p w:rsidR="00E579CB" w:rsidRPr="00E579CB" w:rsidRDefault="00E579CB" w:rsidP="00E579CB">
      <w:pPr>
        <w:spacing w:line="280" w:lineRule="atLeast"/>
        <w:rPr>
          <w:rFonts w:cs="Arial"/>
          <w:color w:val="000000"/>
          <w:szCs w:val="21"/>
          <w:lang w:val="en-US"/>
        </w:rPr>
      </w:pPr>
      <w:r w:rsidRPr="00E579CB">
        <w:rPr>
          <w:rFonts w:cs="Arial"/>
          <w:color w:val="000000"/>
          <w:szCs w:val="21"/>
          <w:lang w:val="en-US"/>
        </w:rPr>
        <w:t xml:space="preserve">Key management personnel are the Chief Executive Officer and the directors of the company. </w:t>
      </w:r>
    </w:p>
    <w:p w:rsidR="00E579CB" w:rsidRPr="00E579CB" w:rsidRDefault="00E579CB" w:rsidP="00E579CB">
      <w:pPr>
        <w:spacing w:line="280" w:lineRule="atLeast"/>
        <w:rPr>
          <w:rFonts w:cs="Arial"/>
          <w:color w:val="000000"/>
          <w:szCs w:val="21"/>
          <w:lang w:val="en-US"/>
        </w:rPr>
      </w:pPr>
      <w:r w:rsidRPr="00E579CB">
        <w:rPr>
          <w:rFonts w:cs="Arial"/>
          <w:color w:val="000000"/>
          <w:szCs w:val="21"/>
          <w:lang w:val="en-US"/>
        </w:rPr>
        <w:t xml:space="preserve">Other than Luke Bosher (Chief Executive Officer appointed 16 April 2018), Di Winkler (Executive Director) and Graeme Innes (Non-executive Director), no director has received compensation during the years ended 30 June 2019 and 30 June 2018. This includes short-term benefits, post-employment benefits, other long-term benefits, termination benefits or share based payments. </w:t>
      </w:r>
    </w:p>
    <w:tbl>
      <w:tblPr>
        <w:tblW w:w="8439" w:type="dxa"/>
        <w:tblInd w:w="-108" w:type="dxa"/>
        <w:tblLayout w:type="fixed"/>
        <w:tblLook w:val="0000" w:firstRow="0" w:lastRow="0" w:firstColumn="0" w:lastColumn="0" w:noHBand="0" w:noVBand="0"/>
      </w:tblPr>
      <w:tblGrid>
        <w:gridCol w:w="5637"/>
        <w:gridCol w:w="1432"/>
        <w:gridCol w:w="1370"/>
      </w:tblGrid>
      <w:tr w:rsidR="00E579CB" w:rsidRPr="00E579CB" w:rsidTr="00E579CB">
        <w:trPr>
          <w:trHeight w:val="255"/>
        </w:trPr>
        <w:tc>
          <w:tcPr>
            <w:tcW w:w="5637" w:type="dxa"/>
            <w:tcBorders>
              <w:top w:val="nil"/>
              <w:left w:val="nil"/>
              <w:bottom w:val="nil"/>
              <w:right w:val="nil"/>
            </w:tcBorders>
            <w:shd w:val="clear" w:color="auto" w:fill="auto"/>
          </w:tcPr>
          <w:p w:rsidR="00E579CB" w:rsidRPr="00E579CB" w:rsidRDefault="00E579CB" w:rsidP="00E579CB">
            <w:pPr>
              <w:spacing w:after="40" w:line="260" w:lineRule="atLeast"/>
              <w:rPr>
                <w:rFonts w:cs="Arial"/>
                <w:color w:val="000000"/>
                <w:szCs w:val="21"/>
                <w:lang w:val="en-US"/>
              </w:rPr>
            </w:pPr>
            <w:r w:rsidRPr="00E579CB">
              <w:rPr>
                <w:rFonts w:cs="Arial"/>
                <w:color w:val="000000"/>
                <w:szCs w:val="21"/>
                <w:lang w:val="en-US"/>
              </w:rPr>
              <w:t>Aggregate remuneration</w:t>
            </w:r>
          </w:p>
        </w:tc>
        <w:tc>
          <w:tcPr>
            <w:tcW w:w="1432" w:type="dxa"/>
            <w:tcBorders>
              <w:left w:val="nil"/>
              <w:bottom w:val="double" w:sz="4" w:space="0" w:color="auto"/>
              <w:right w:val="nil"/>
            </w:tcBorders>
          </w:tcPr>
          <w:p w:rsidR="00E579CB" w:rsidRPr="00E579CB" w:rsidRDefault="00E579CB" w:rsidP="00E579CB">
            <w:pPr>
              <w:spacing w:after="40" w:line="260" w:lineRule="atLeast"/>
              <w:ind w:left="-553" w:firstLine="553"/>
              <w:jc w:val="right"/>
              <w:rPr>
                <w:rFonts w:cs="Arial"/>
                <w:color w:val="000000"/>
                <w:position w:val="-6"/>
                <w:szCs w:val="21"/>
                <w:lang w:val="en-US"/>
              </w:rPr>
            </w:pPr>
            <w:r w:rsidRPr="00E579CB">
              <w:rPr>
                <w:rFonts w:cs="Arial"/>
                <w:color w:val="000000"/>
                <w:position w:val="-6"/>
                <w:szCs w:val="21"/>
                <w:lang w:val="en-US"/>
              </w:rPr>
              <w:t>332,244</w:t>
            </w:r>
          </w:p>
        </w:tc>
        <w:tc>
          <w:tcPr>
            <w:tcW w:w="1370" w:type="dxa"/>
            <w:tcBorders>
              <w:left w:val="nil"/>
              <w:bottom w:val="double" w:sz="4" w:space="0" w:color="auto"/>
              <w:right w:val="nil"/>
            </w:tcBorders>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160,949</w:t>
            </w:r>
          </w:p>
        </w:tc>
      </w:tr>
    </w:tbl>
    <w:p w:rsidR="00E579CB" w:rsidRPr="00E579CB" w:rsidRDefault="00E579CB" w:rsidP="00E579CB">
      <w:pPr>
        <w:spacing w:after="40" w:line="260" w:lineRule="atLeast"/>
        <w:rPr>
          <w:rFonts w:cs="Arial"/>
          <w:b/>
          <w:bCs/>
          <w:color w:val="000000"/>
          <w:szCs w:val="21"/>
          <w:lang w:eastAsia="en-AU"/>
        </w:rPr>
      </w:pPr>
    </w:p>
    <w:p w:rsidR="00E579CB" w:rsidRPr="00E579CB" w:rsidRDefault="00E579CB" w:rsidP="002E5863">
      <w:pPr>
        <w:numPr>
          <w:ilvl w:val="3"/>
          <w:numId w:val="8"/>
        </w:numPr>
        <w:spacing w:line="280" w:lineRule="atLeast"/>
        <w:rPr>
          <w:rFonts w:cs="Arial"/>
          <w:b/>
          <w:color w:val="000000"/>
          <w:szCs w:val="21"/>
          <w:lang w:val="en-US"/>
        </w:rPr>
      </w:pPr>
      <w:r w:rsidRPr="00E579CB">
        <w:rPr>
          <w:rFonts w:cs="Arial"/>
          <w:b/>
          <w:color w:val="000000"/>
          <w:szCs w:val="21"/>
          <w:lang w:val="en-US"/>
        </w:rPr>
        <w:t>Transactions with related parties</w:t>
      </w:r>
    </w:p>
    <w:p w:rsidR="00E579CB" w:rsidRPr="00E579CB" w:rsidRDefault="00E579CB" w:rsidP="00E579CB">
      <w:pPr>
        <w:spacing w:line="280" w:lineRule="atLeast"/>
        <w:rPr>
          <w:rFonts w:cs="Arial"/>
          <w:color w:val="000000"/>
          <w:szCs w:val="21"/>
          <w:lang w:val="en-US"/>
        </w:rPr>
      </w:pPr>
      <w:r w:rsidRPr="00E579CB">
        <w:rPr>
          <w:rFonts w:cs="Arial"/>
          <w:color w:val="000000"/>
          <w:szCs w:val="21"/>
          <w:lang w:val="en-US"/>
        </w:rPr>
        <w:t xml:space="preserve">Entities related to Director </w:t>
      </w:r>
      <w:proofErr w:type="gramStart"/>
      <w:r w:rsidRPr="00E579CB">
        <w:rPr>
          <w:rFonts w:cs="Arial"/>
          <w:color w:val="000000"/>
          <w:szCs w:val="21"/>
          <w:lang w:val="en-US"/>
        </w:rPr>
        <w:t>Di</w:t>
      </w:r>
      <w:proofErr w:type="gramEnd"/>
      <w:r w:rsidRPr="00E579CB">
        <w:rPr>
          <w:rFonts w:cs="Arial"/>
          <w:color w:val="000000"/>
          <w:szCs w:val="21"/>
          <w:lang w:val="en-US"/>
        </w:rPr>
        <w:t xml:space="preserve"> Winkler have provided donations of $3,760,000 (2018: $3,620,498). In addition, the company has entered into an office lease agreement with an entity related to Director </w:t>
      </w:r>
      <w:proofErr w:type="gramStart"/>
      <w:r w:rsidRPr="00E579CB">
        <w:rPr>
          <w:rFonts w:cs="Arial"/>
          <w:color w:val="000000"/>
          <w:szCs w:val="21"/>
          <w:lang w:val="en-US"/>
        </w:rPr>
        <w:t>Di</w:t>
      </w:r>
      <w:proofErr w:type="gramEnd"/>
      <w:r w:rsidRPr="00E579CB">
        <w:rPr>
          <w:rFonts w:cs="Arial"/>
          <w:color w:val="000000"/>
          <w:szCs w:val="21"/>
          <w:lang w:val="en-US"/>
        </w:rPr>
        <w:t xml:space="preserve"> Winkler for $1 per annum for a seven-year lease term.</w:t>
      </w:r>
    </w:p>
    <w:p w:rsidR="00E579CB" w:rsidRPr="00E579CB" w:rsidRDefault="00E579CB" w:rsidP="002E5863">
      <w:pPr>
        <w:numPr>
          <w:ilvl w:val="3"/>
          <w:numId w:val="8"/>
        </w:numPr>
        <w:spacing w:line="280" w:lineRule="atLeast"/>
        <w:rPr>
          <w:rFonts w:cs="Arial"/>
          <w:b/>
          <w:color w:val="000000"/>
          <w:szCs w:val="21"/>
          <w:lang w:val="en-US"/>
        </w:rPr>
      </w:pPr>
      <w:r w:rsidRPr="00E579CB">
        <w:rPr>
          <w:rFonts w:cs="Arial"/>
          <w:b/>
          <w:color w:val="000000"/>
          <w:szCs w:val="21"/>
          <w:lang w:val="en-US"/>
        </w:rPr>
        <w:t>Finance facilities from related parties</w:t>
      </w:r>
    </w:p>
    <w:p w:rsidR="00E579CB" w:rsidRPr="00E579CB" w:rsidRDefault="00E579CB" w:rsidP="00E579CB">
      <w:pPr>
        <w:spacing w:line="280" w:lineRule="atLeast"/>
        <w:rPr>
          <w:rFonts w:cs="Arial"/>
          <w:color w:val="000000"/>
          <w:szCs w:val="21"/>
          <w:lang w:val="en-US"/>
        </w:rPr>
      </w:pPr>
      <w:r w:rsidRPr="00E579CB">
        <w:rPr>
          <w:rFonts w:cs="Arial"/>
          <w:color w:val="000000"/>
          <w:szCs w:val="21"/>
          <w:lang w:val="en-US"/>
        </w:rPr>
        <w:t xml:space="preserve">Entities related to Director </w:t>
      </w:r>
      <w:proofErr w:type="gramStart"/>
      <w:r w:rsidRPr="00E579CB">
        <w:rPr>
          <w:rFonts w:cs="Arial"/>
          <w:color w:val="000000"/>
          <w:szCs w:val="21"/>
          <w:lang w:val="en-US"/>
        </w:rPr>
        <w:t>Di</w:t>
      </w:r>
      <w:proofErr w:type="gramEnd"/>
      <w:r w:rsidRPr="00E579CB">
        <w:rPr>
          <w:rFonts w:cs="Arial"/>
          <w:color w:val="000000"/>
          <w:szCs w:val="21"/>
          <w:lang w:val="en-US"/>
        </w:rPr>
        <w:t xml:space="preserve"> Winkler have provided a finance facility (Summer Foundation Housing Matching Business Unit Loan) of $500,000 (2018: $nil). At year end, none of this facility had been drawn.</w:t>
      </w:r>
    </w:p>
    <w:p w:rsidR="00E579CB" w:rsidRPr="00E579CB" w:rsidRDefault="00E579CB" w:rsidP="00E579CB">
      <w:pPr>
        <w:spacing w:line="280" w:lineRule="atLeast"/>
        <w:rPr>
          <w:rFonts w:cs="Arial"/>
          <w:color w:val="000000"/>
          <w:szCs w:val="21"/>
          <w:lang w:val="en-US"/>
        </w:rPr>
      </w:pPr>
    </w:p>
    <w:p w:rsidR="00685439" w:rsidRDefault="00685439" w:rsidP="00E579CB">
      <w:pPr>
        <w:pStyle w:val="Heading-Note"/>
        <w:tabs>
          <w:tab w:val="left" w:pos="566"/>
        </w:tabs>
        <w:spacing w:before="0" w:after="120" w:line="280" w:lineRule="atLeast"/>
        <w:rPr>
          <w:rFonts w:ascii="Helvetica Neue" w:hAnsi="Helvetica Neue" w:cs="Arial"/>
          <w:sz w:val="21"/>
          <w:szCs w:val="21"/>
        </w:rPr>
      </w:pPr>
    </w:p>
    <w:p w:rsidR="00685439" w:rsidRDefault="00685439" w:rsidP="00E579CB">
      <w:pPr>
        <w:pStyle w:val="Heading-Note"/>
        <w:tabs>
          <w:tab w:val="left" w:pos="566"/>
        </w:tabs>
        <w:spacing w:before="0" w:after="120" w:line="280" w:lineRule="atLeast"/>
        <w:rPr>
          <w:rFonts w:ascii="Helvetica Neue" w:hAnsi="Helvetica Neue" w:cs="Arial"/>
          <w:sz w:val="21"/>
          <w:szCs w:val="21"/>
        </w:rPr>
      </w:pPr>
    </w:p>
    <w:p w:rsidR="00685439" w:rsidRDefault="00685439" w:rsidP="00E579CB">
      <w:pPr>
        <w:pStyle w:val="Heading-Note"/>
        <w:tabs>
          <w:tab w:val="left" w:pos="566"/>
        </w:tabs>
        <w:spacing w:before="0" w:after="120" w:line="280" w:lineRule="atLeast"/>
        <w:rPr>
          <w:rFonts w:ascii="Helvetica Neue" w:hAnsi="Helvetica Neue" w:cs="Arial"/>
          <w:sz w:val="21"/>
          <w:szCs w:val="21"/>
        </w:rPr>
      </w:pPr>
    </w:p>
    <w:p w:rsidR="00685439" w:rsidRDefault="00685439" w:rsidP="00E579CB">
      <w:pPr>
        <w:pStyle w:val="Heading-Note"/>
        <w:tabs>
          <w:tab w:val="left" w:pos="566"/>
        </w:tabs>
        <w:spacing w:before="0" w:after="120" w:line="280" w:lineRule="atLeast"/>
        <w:rPr>
          <w:rFonts w:ascii="Helvetica Neue" w:hAnsi="Helvetica Neue" w:cs="Arial"/>
          <w:sz w:val="21"/>
          <w:szCs w:val="21"/>
        </w:rPr>
      </w:pPr>
    </w:p>
    <w:p w:rsidR="00685439" w:rsidRDefault="00685439" w:rsidP="00E579CB">
      <w:pPr>
        <w:pStyle w:val="Heading-Note"/>
        <w:tabs>
          <w:tab w:val="left" w:pos="566"/>
        </w:tabs>
        <w:spacing w:before="0" w:after="120" w:line="280" w:lineRule="atLeast"/>
        <w:rPr>
          <w:rFonts w:ascii="Helvetica Neue" w:hAnsi="Helvetica Neue" w:cs="Arial"/>
          <w:sz w:val="21"/>
          <w:szCs w:val="21"/>
        </w:rPr>
      </w:pPr>
    </w:p>
    <w:p w:rsidR="00685439" w:rsidRDefault="00685439" w:rsidP="00E579CB">
      <w:pPr>
        <w:pStyle w:val="Heading-Note"/>
        <w:tabs>
          <w:tab w:val="left" w:pos="566"/>
        </w:tabs>
        <w:spacing w:before="0" w:after="120" w:line="280" w:lineRule="atLeast"/>
        <w:rPr>
          <w:rFonts w:ascii="Helvetica Neue" w:hAnsi="Helvetica Neue" w:cs="Arial"/>
          <w:sz w:val="21"/>
          <w:szCs w:val="21"/>
        </w:rPr>
      </w:pPr>
    </w:p>
    <w:p w:rsidR="00E579CB" w:rsidRPr="00E579CB" w:rsidRDefault="00E579CB" w:rsidP="00E579CB">
      <w:pPr>
        <w:pStyle w:val="Heading-Note"/>
        <w:tabs>
          <w:tab w:val="left" w:pos="566"/>
        </w:tabs>
        <w:spacing w:before="0" w:after="120" w:line="280" w:lineRule="atLeast"/>
        <w:rPr>
          <w:rFonts w:ascii="Helvetica Neue" w:hAnsi="Helvetica Neue" w:cs="Arial"/>
          <w:b w:val="0"/>
          <w:sz w:val="21"/>
          <w:szCs w:val="21"/>
          <w:lang w:val="en-US"/>
        </w:rPr>
      </w:pPr>
      <w:r w:rsidRPr="00E579CB">
        <w:rPr>
          <w:rFonts w:ascii="Helvetica Neue" w:hAnsi="Helvetica Neue" w:cs="Arial"/>
          <w:sz w:val="21"/>
          <w:szCs w:val="21"/>
        </w:rPr>
        <w:lastRenderedPageBreak/>
        <w:t>13 Loss on Transfer of Assets</w:t>
      </w:r>
    </w:p>
    <w:p w:rsidR="00E579CB" w:rsidRPr="00E579CB" w:rsidRDefault="00E579CB" w:rsidP="00E579CB">
      <w:pPr>
        <w:spacing w:line="280" w:lineRule="atLeast"/>
        <w:rPr>
          <w:rFonts w:cs="Arial"/>
          <w:szCs w:val="21"/>
        </w:rPr>
      </w:pPr>
      <w:r w:rsidRPr="00E579CB">
        <w:rPr>
          <w:rFonts w:cs="Arial"/>
          <w:szCs w:val="21"/>
        </w:rPr>
        <w:t xml:space="preserve">Summer Foundation gifted the Abbotsford and Hunter properties to Summer Housing in December 2017, resulting in a loss on transfer of assets of $7,179,290 for the year ended 30 June 2018. </w:t>
      </w:r>
    </w:p>
    <w:p w:rsidR="00E579CB" w:rsidRPr="00E579CB" w:rsidRDefault="00E579CB" w:rsidP="00E579CB">
      <w:pPr>
        <w:spacing w:after="0" w:line="280" w:lineRule="atLeast"/>
        <w:rPr>
          <w:rFonts w:cs="Arial"/>
          <w:szCs w:val="21"/>
        </w:rPr>
      </w:pPr>
      <w:r w:rsidRPr="00E579CB">
        <w:rPr>
          <w:rFonts w:cs="Arial"/>
          <w:szCs w:val="21"/>
        </w:rPr>
        <w:t>Summer Housing Ltd was established in January 2017 as an independent entity to Summer Foundation Ltd to replicate and scale the initial housing demonstration projects developed by Summer Foundation, building on the proven success of the Abbotsford and Hunter Housing Projects.</w:t>
      </w:r>
    </w:p>
    <w:p w:rsidR="00E579CB" w:rsidRPr="00E579CB" w:rsidRDefault="00E579CB" w:rsidP="00E579CB">
      <w:pPr>
        <w:spacing w:after="0" w:line="280" w:lineRule="atLeast"/>
        <w:rPr>
          <w:rFonts w:cs="Arial"/>
          <w:szCs w:val="21"/>
        </w:rPr>
      </w:pPr>
    </w:p>
    <w:p w:rsidR="00E579CB" w:rsidRPr="00E579CB" w:rsidRDefault="00E579CB" w:rsidP="00E579CB">
      <w:pPr>
        <w:pStyle w:val="Heading-Note"/>
        <w:tabs>
          <w:tab w:val="left" w:pos="566"/>
        </w:tabs>
        <w:spacing w:before="0" w:after="120" w:line="280" w:lineRule="atLeast"/>
        <w:rPr>
          <w:rFonts w:ascii="Helvetica Neue" w:hAnsi="Helvetica Neue" w:cs="Arial"/>
          <w:sz w:val="21"/>
          <w:szCs w:val="21"/>
        </w:rPr>
      </w:pPr>
      <w:r w:rsidRPr="00E579CB">
        <w:rPr>
          <w:rFonts w:ascii="Helvetica Neue" w:hAnsi="Helvetica Neue" w:cs="Arial"/>
          <w:sz w:val="21"/>
          <w:szCs w:val="21"/>
        </w:rPr>
        <w:t>14 Contingencies</w:t>
      </w:r>
    </w:p>
    <w:p w:rsidR="00685439" w:rsidRPr="00685439" w:rsidRDefault="00E579CB" w:rsidP="00685439">
      <w:pPr>
        <w:spacing w:line="280" w:lineRule="atLeast"/>
        <w:rPr>
          <w:rFonts w:cs="Arial"/>
          <w:bCs/>
          <w:color w:val="000000"/>
          <w:szCs w:val="21"/>
          <w:lang w:val="en-US"/>
        </w:rPr>
      </w:pPr>
      <w:r w:rsidRPr="00E579CB">
        <w:rPr>
          <w:rFonts w:cs="Arial"/>
          <w:bCs/>
          <w:color w:val="000000"/>
          <w:szCs w:val="21"/>
          <w:lang w:val="en-US"/>
        </w:rPr>
        <w:t>The company has no contingent liabilities as at 30 June 2019 and 30 June 2018.</w:t>
      </w:r>
    </w:p>
    <w:p w:rsidR="00E579CB" w:rsidRPr="00E579CB" w:rsidRDefault="00E579CB" w:rsidP="00685439">
      <w:pPr>
        <w:pStyle w:val="Heading2"/>
        <w:rPr>
          <w:lang w:eastAsia="en-AU"/>
        </w:rPr>
      </w:pPr>
      <w:r w:rsidRPr="00E579CB">
        <w:rPr>
          <w:lang w:eastAsia="en-AU"/>
        </w:rPr>
        <w:t xml:space="preserve">Notes to the Financial Statements </w:t>
      </w:r>
    </w:p>
    <w:tbl>
      <w:tblPr>
        <w:tblW w:w="8364" w:type="dxa"/>
        <w:tblInd w:w="108" w:type="dxa"/>
        <w:tblLayout w:type="fixed"/>
        <w:tblLook w:val="0000" w:firstRow="0" w:lastRow="0" w:firstColumn="0" w:lastColumn="0" w:noHBand="0" w:noVBand="0"/>
      </w:tblPr>
      <w:tblGrid>
        <w:gridCol w:w="5387"/>
        <w:gridCol w:w="1559"/>
        <w:gridCol w:w="1418"/>
      </w:tblGrid>
      <w:tr w:rsidR="00E579CB" w:rsidRPr="00E579CB" w:rsidTr="00E579CB">
        <w:trPr>
          <w:trHeight w:val="255"/>
        </w:trPr>
        <w:tc>
          <w:tcPr>
            <w:tcW w:w="5387" w:type="dxa"/>
            <w:tcBorders>
              <w:top w:val="nil"/>
              <w:left w:val="nil"/>
              <w:bottom w:val="nil"/>
              <w:right w:val="nil"/>
            </w:tcBorders>
            <w:shd w:val="clear" w:color="auto" w:fill="auto"/>
          </w:tcPr>
          <w:p w:rsidR="00E579CB" w:rsidRPr="00E579CB" w:rsidRDefault="00E579CB" w:rsidP="00E579CB">
            <w:pPr>
              <w:spacing w:after="40" w:line="260" w:lineRule="atLeast"/>
              <w:ind w:left="-108"/>
              <w:rPr>
                <w:rFonts w:cs="Arial"/>
                <w:b/>
                <w:szCs w:val="21"/>
              </w:rPr>
            </w:pPr>
          </w:p>
        </w:tc>
        <w:tc>
          <w:tcPr>
            <w:tcW w:w="1559" w:type="dxa"/>
            <w:tcBorders>
              <w:top w:val="nil"/>
              <w:left w:val="nil"/>
              <w:bottom w:val="nil"/>
              <w:right w:val="nil"/>
            </w:tcBorders>
            <w:vAlign w:val="center"/>
          </w:tcPr>
          <w:p w:rsidR="00E579CB" w:rsidRPr="00E579CB" w:rsidRDefault="00E579CB" w:rsidP="00E579CB">
            <w:pPr>
              <w:spacing w:after="40" w:line="260" w:lineRule="atLeast"/>
              <w:jc w:val="center"/>
              <w:rPr>
                <w:rFonts w:cs="Arial"/>
                <w:b/>
                <w:bCs/>
                <w:color w:val="000000"/>
                <w:szCs w:val="21"/>
                <w:lang w:val="en-US"/>
              </w:rPr>
            </w:pPr>
            <w:r w:rsidRPr="00E579CB">
              <w:rPr>
                <w:rFonts w:cs="Arial"/>
                <w:b/>
                <w:bCs/>
                <w:color w:val="000000"/>
                <w:szCs w:val="21"/>
                <w:lang w:val="en-US"/>
              </w:rPr>
              <w:t>2019</w:t>
            </w:r>
          </w:p>
        </w:tc>
        <w:tc>
          <w:tcPr>
            <w:tcW w:w="1418" w:type="dxa"/>
            <w:tcBorders>
              <w:top w:val="nil"/>
              <w:left w:val="nil"/>
              <w:bottom w:val="nil"/>
              <w:right w:val="nil"/>
            </w:tcBorders>
            <w:vAlign w:val="center"/>
          </w:tcPr>
          <w:p w:rsidR="00E579CB" w:rsidRPr="00E579CB" w:rsidRDefault="00E579CB" w:rsidP="00E579CB">
            <w:pPr>
              <w:spacing w:after="40" w:line="260" w:lineRule="atLeast"/>
              <w:jc w:val="center"/>
              <w:rPr>
                <w:rFonts w:cs="Arial"/>
                <w:b/>
                <w:bCs/>
                <w:color w:val="000000"/>
                <w:szCs w:val="21"/>
                <w:lang w:val="en-US"/>
              </w:rPr>
            </w:pPr>
            <w:r w:rsidRPr="00E579CB">
              <w:rPr>
                <w:rFonts w:cs="Arial"/>
                <w:b/>
                <w:bCs/>
                <w:color w:val="000000"/>
                <w:szCs w:val="21"/>
                <w:lang w:val="en-US"/>
              </w:rPr>
              <w:t>2018</w:t>
            </w:r>
          </w:p>
        </w:tc>
      </w:tr>
      <w:tr w:rsidR="00E579CB" w:rsidRPr="00E579CB" w:rsidTr="00E579CB">
        <w:trPr>
          <w:trHeight w:val="255"/>
        </w:trPr>
        <w:tc>
          <w:tcPr>
            <w:tcW w:w="5387" w:type="dxa"/>
            <w:tcBorders>
              <w:top w:val="nil"/>
              <w:left w:val="nil"/>
              <w:bottom w:val="nil"/>
              <w:right w:val="nil"/>
            </w:tcBorders>
            <w:shd w:val="clear" w:color="auto" w:fill="auto"/>
          </w:tcPr>
          <w:p w:rsidR="00E579CB" w:rsidRPr="00E579CB" w:rsidRDefault="00E579CB" w:rsidP="00E579CB">
            <w:pPr>
              <w:spacing w:after="40" w:line="260" w:lineRule="atLeast"/>
              <w:ind w:left="-108"/>
              <w:rPr>
                <w:rFonts w:cs="Arial"/>
                <w:b/>
                <w:color w:val="000000"/>
                <w:szCs w:val="21"/>
                <w:lang w:val="en-US"/>
              </w:rPr>
            </w:pPr>
            <w:r w:rsidRPr="00E579CB">
              <w:rPr>
                <w:rFonts w:cs="Arial"/>
                <w:b/>
                <w:szCs w:val="21"/>
              </w:rPr>
              <w:t>15 Operating Lease Commitments</w:t>
            </w:r>
          </w:p>
        </w:tc>
        <w:tc>
          <w:tcPr>
            <w:tcW w:w="1559" w:type="dxa"/>
            <w:tcBorders>
              <w:top w:val="nil"/>
              <w:left w:val="nil"/>
              <w:bottom w:val="nil"/>
              <w:right w:val="nil"/>
            </w:tcBorders>
            <w:vAlign w:val="center"/>
          </w:tcPr>
          <w:p w:rsidR="00E579CB" w:rsidRPr="00E579CB" w:rsidRDefault="00E579CB" w:rsidP="00E579CB">
            <w:pPr>
              <w:spacing w:after="40" w:line="260" w:lineRule="atLeast"/>
              <w:jc w:val="center"/>
              <w:rPr>
                <w:rFonts w:cs="Arial"/>
                <w:b/>
                <w:bCs/>
                <w:color w:val="000000"/>
                <w:szCs w:val="21"/>
                <w:lang w:val="en-US"/>
              </w:rPr>
            </w:pPr>
            <w:r w:rsidRPr="00E579CB">
              <w:rPr>
                <w:rFonts w:cs="Arial"/>
                <w:b/>
                <w:bCs/>
                <w:color w:val="000000"/>
                <w:position w:val="-6"/>
                <w:szCs w:val="21"/>
                <w:lang w:val="en-US"/>
              </w:rPr>
              <w:t>$</w:t>
            </w:r>
          </w:p>
        </w:tc>
        <w:tc>
          <w:tcPr>
            <w:tcW w:w="1418" w:type="dxa"/>
            <w:tcBorders>
              <w:top w:val="nil"/>
              <w:left w:val="nil"/>
              <w:bottom w:val="nil"/>
              <w:right w:val="nil"/>
            </w:tcBorders>
            <w:vAlign w:val="center"/>
          </w:tcPr>
          <w:p w:rsidR="00E579CB" w:rsidRPr="00E579CB" w:rsidRDefault="00E579CB" w:rsidP="00E579CB">
            <w:pPr>
              <w:spacing w:after="40" w:line="260" w:lineRule="atLeast"/>
              <w:jc w:val="center"/>
              <w:rPr>
                <w:rFonts w:cs="Arial"/>
                <w:b/>
                <w:bCs/>
                <w:color w:val="000000"/>
                <w:szCs w:val="21"/>
                <w:lang w:val="en-US"/>
              </w:rPr>
            </w:pPr>
            <w:r w:rsidRPr="00E579CB">
              <w:rPr>
                <w:rFonts w:cs="Arial"/>
                <w:b/>
                <w:bCs/>
                <w:color w:val="000000"/>
                <w:position w:val="-6"/>
                <w:szCs w:val="21"/>
                <w:lang w:val="en-US"/>
              </w:rPr>
              <w:t>$</w:t>
            </w:r>
          </w:p>
        </w:tc>
      </w:tr>
      <w:tr w:rsidR="00E579CB" w:rsidRPr="00E579CB" w:rsidTr="00E579CB">
        <w:trPr>
          <w:trHeight w:val="255"/>
        </w:trPr>
        <w:tc>
          <w:tcPr>
            <w:tcW w:w="5387" w:type="dxa"/>
            <w:tcBorders>
              <w:top w:val="nil"/>
              <w:left w:val="nil"/>
              <w:bottom w:val="nil"/>
              <w:right w:val="nil"/>
            </w:tcBorders>
            <w:shd w:val="clear" w:color="auto" w:fill="auto"/>
          </w:tcPr>
          <w:p w:rsidR="00E579CB" w:rsidRPr="00E579CB" w:rsidRDefault="00E579CB" w:rsidP="00E579CB">
            <w:pPr>
              <w:spacing w:after="40" w:line="260" w:lineRule="atLeast"/>
              <w:ind w:left="-108"/>
              <w:rPr>
                <w:rFonts w:cs="Arial"/>
                <w:bCs/>
                <w:color w:val="000000"/>
                <w:szCs w:val="21"/>
                <w:lang w:val="en-US"/>
              </w:rPr>
            </w:pPr>
            <w:r w:rsidRPr="00E579CB">
              <w:rPr>
                <w:rFonts w:cs="Arial"/>
                <w:bCs/>
                <w:color w:val="000000"/>
                <w:szCs w:val="21"/>
                <w:lang w:val="en-US"/>
              </w:rPr>
              <w:t>Payable – minimum lease payments</w:t>
            </w:r>
          </w:p>
        </w:tc>
        <w:tc>
          <w:tcPr>
            <w:tcW w:w="1559" w:type="dxa"/>
            <w:tcBorders>
              <w:top w:val="nil"/>
              <w:left w:val="nil"/>
              <w:bottom w:val="nil"/>
              <w:right w:val="nil"/>
            </w:tcBorders>
          </w:tcPr>
          <w:p w:rsidR="00E579CB" w:rsidRPr="00E579CB" w:rsidRDefault="00E579CB" w:rsidP="00E579CB">
            <w:pPr>
              <w:spacing w:after="40" w:line="260" w:lineRule="atLeast"/>
              <w:jc w:val="right"/>
              <w:rPr>
                <w:rFonts w:cs="Arial"/>
                <w:b/>
                <w:bCs/>
                <w:color w:val="000000"/>
                <w:position w:val="-6"/>
                <w:szCs w:val="21"/>
                <w:lang w:val="en-US"/>
              </w:rPr>
            </w:pPr>
          </w:p>
        </w:tc>
        <w:tc>
          <w:tcPr>
            <w:tcW w:w="1418" w:type="dxa"/>
            <w:tcBorders>
              <w:top w:val="nil"/>
              <w:left w:val="nil"/>
              <w:bottom w:val="nil"/>
              <w:right w:val="nil"/>
            </w:tcBorders>
          </w:tcPr>
          <w:p w:rsidR="00E579CB" w:rsidRPr="00E579CB" w:rsidRDefault="00E579CB" w:rsidP="00E579CB">
            <w:pPr>
              <w:spacing w:after="40" w:line="260" w:lineRule="atLeast"/>
              <w:jc w:val="right"/>
              <w:rPr>
                <w:rFonts w:cs="Arial"/>
                <w:b/>
                <w:bCs/>
                <w:color w:val="000000"/>
                <w:position w:val="-6"/>
                <w:szCs w:val="21"/>
                <w:lang w:val="en-US"/>
              </w:rPr>
            </w:pPr>
          </w:p>
        </w:tc>
      </w:tr>
      <w:tr w:rsidR="00E579CB" w:rsidRPr="00E579CB" w:rsidTr="00E579CB">
        <w:trPr>
          <w:trHeight w:val="255"/>
        </w:trPr>
        <w:tc>
          <w:tcPr>
            <w:tcW w:w="5387" w:type="dxa"/>
            <w:tcBorders>
              <w:top w:val="nil"/>
              <w:left w:val="nil"/>
              <w:bottom w:val="nil"/>
              <w:right w:val="nil"/>
            </w:tcBorders>
            <w:shd w:val="clear" w:color="auto" w:fill="auto"/>
          </w:tcPr>
          <w:p w:rsidR="00E579CB" w:rsidRPr="00E579CB" w:rsidRDefault="00E579CB" w:rsidP="00E579CB">
            <w:pPr>
              <w:spacing w:after="40" w:line="260" w:lineRule="atLeast"/>
              <w:ind w:left="-108"/>
              <w:rPr>
                <w:rFonts w:cs="Arial"/>
                <w:bCs/>
                <w:color w:val="000000"/>
                <w:szCs w:val="21"/>
                <w:lang w:val="en-US"/>
              </w:rPr>
            </w:pPr>
            <w:r w:rsidRPr="00E579CB">
              <w:rPr>
                <w:rFonts w:cs="Arial"/>
                <w:bCs/>
                <w:color w:val="000000"/>
                <w:szCs w:val="21"/>
                <w:lang w:val="en-US"/>
              </w:rPr>
              <w:t>- not later than 12 months</w:t>
            </w:r>
          </w:p>
        </w:tc>
        <w:tc>
          <w:tcPr>
            <w:tcW w:w="1559" w:type="dxa"/>
            <w:tcBorders>
              <w:top w:val="nil"/>
              <w:left w:val="nil"/>
              <w:bottom w:val="nil"/>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9,439</w:t>
            </w:r>
          </w:p>
        </w:tc>
        <w:tc>
          <w:tcPr>
            <w:tcW w:w="1418" w:type="dxa"/>
            <w:tcBorders>
              <w:top w:val="nil"/>
              <w:left w:val="nil"/>
              <w:bottom w:val="nil"/>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1</w:t>
            </w:r>
          </w:p>
        </w:tc>
      </w:tr>
      <w:tr w:rsidR="00E579CB" w:rsidRPr="00E579CB" w:rsidTr="00E579CB">
        <w:trPr>
          <w:trHeight w:val="231"/>
        </w:trPr>
        <w:tc>
          <w:tcPr>
            <w:tcW w:w="5387" w:type="dxa"/>
            <w:tcBorders>
              <w:top w:val="nil"/>
              <w:left w:val="nil"/>
              <w:bottom w:val="nil"/>
              <w:right w:val="nil"/>
            </w:tcBorders>
            <w:shd w:val="clear" w:color="auto" w:fill="auto"/>
          </w:tcPr>
          <w:p w:rsidR="00E579CB" w:rsidRPr="00E579CB" w:rsidRDefault="00E579CB" w:rsidP="00E579CB">
            <w:pPr>
              <w:spacing w:after="40" w:line="260" w:lineRule="atLeast"/>
              <w:ind w:left="-108"/>
              <w:rPr>
                <w:rFonts w:cs="Arial"/>
                <w:bCs/>
                <w:color w:val="000000"/>
                <w:szCs w:val="21"/>
                <w:lang w:val="en-US"/>
              </w:rPr>
            </w:pPr>
            <w:r w:rsidRPr="00E579CB">
              <w:rPr>
                <w:rFonts w:cs="Arial"/>
                <w:bCs/>
                <w:color w:val="000000"/>
                <w:szCs w:val="21"/>
                <w:lang w:val="en-US"/>
              </w:rPr>
              <w:t>- later than 12 months but not later than 5 years</w:t>
            </w:r>
          </w:p>
        </w:tc>
        <w:tc>
          <w:tcPr>
            <w:tcW w:w="1559" w:type="dxa"/>
            <w:tcBorders>
              <w:top w:val="nil"/>
              <w:left w:val="nil"/>
              <w:bottom w:val="nil"/>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17,305</w:t>
            </w:r>
          </w:p>
        </w:tc>
        <w:tc>
          <w:tcPr>
            <w:tcW w:w="1418" w:type="dxa"/>
            <w:tcBorders>
              <w:top w:val="nil"/>
              <w:left w:val="nil"/>
              <w:bottom w:val="nil"/>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3</w:t>
            </w:r>
          </w:p>
        </w:tc>
      </w:tr>
      <w:tr w:rsidR="00E579CB" w:rsidRPr="00E579CB" w:rsidTr="00E579CB">
        <w:trPr>
          <w:trHeight w:val="255"/>
        </w:trPr>
        <w:tc>
          <w:tcPr>
            <w:tcW w:w="5387" w:type="dxa"/>
            <w:tcBorders>
              <w:top w:val="nil"/>
              <w:left w:val="nil"/>
              <w:bottom w:val="nil"/>
              <w:right w:val="nil"/>
            </w:tcBorders>
            <w:shd w:val="clear" w:color="auto" w:fill="auto"/>
          </w:tcPr>
          <w:p w:rsidR="00E579CB" w:rsidRPr="00E579CB" w:rsidRDefault="00E579CB" w:rsidP="00E579CB">
            <w:pPr>
              <w:spacing w:after="40" w:line="260" w:lineRule="atLeast"/>
              <w:rPr>
                <w:rFonts w:cs="Arial"/>
                <w:bCs/>
                <w:color w:val="000000"/>
                <w:szCs w:val="21"/>
                <w:lang w:val="en-US"/>
              </w:rPr>
            </w:pPr>
          </w:p>
        </w:tc>
        <w:tc>
          <w:tcPr>
            <w:tcW w:w="1559" w:type="dxa"/>
            <w:tcBorders>
              <w:top w:val="single" w:sz="4" w:space="0" w:color="auto"/>
              <w:left w:val="nil"/>
              <w:bottom w:val="double" w:sz="4" w:space="0" w:color="auto"/>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26,744</w:t>
            </w:r>
          </w:p>
        </w:tc>
        <w:tc>
          <w:tcPr>
            <w:tcW w:w="1418" w:type="dxa"/>
            <w:tcBorders>
              <w:top w:val="single" w:sz="4" w:space="0" w:color="auto"/>
              <w:left w:val="nil"/>
              <w:bottom w:val="double" w:sz="4" w:space="0" w:color="auto"/>
              <w:right w:val="nil"/>
            </w:tcBorders>
            <w:vAlign w:val="center"/>
          </w:tcPr>
          <w:p w:rsidR="00E579CB" w:rsidRPr="00E579CB" w:rsidRDefault="00E579CB" w:rsidP="00E579CB">
            <w:pPr>
              <w:spacing w:after="40" w:line="260" w:lineRule="atLeast"/>
              <w:jc w:val="right"/>
              <w:rPr>
                <w:rFonts w:cs="Arial"/>
                <w:color w:val="000000"/>
                <w:position w:val="-6"/>
                <w:szCs w:val="21"/>
                <w:lang w:val="en-US"/>
              </w:rPr>
            </w:pPr>
            <w:r w:rsidRPr="00E579CB">
              <w:rPr>
                <w:rFonts w:cs="Arial"/>
                <w:color w:val="000000"/>
                <w:position w:val="-6"/>
                <w:szCs w:val="21"/>
                <w:lang w:val="en-US"/>
              </w:rPr>
              <w:t>4</w:t>
            </w:r>
          </w:p>
        </w:tc>
      </w:tr>
    </w:tbl>
    <w:p w:rsidR="00E579CB" w:rsidRPr="00685439" w:rsidRDefault="00E579CB" w:rsidP="00E579CB">
      <w:pPr>
        <w:spacing w:line="280" w:lineRule="atLeast"/>
        <w:rPr>
          <w:rFonts w:cs="Arial"/>
          <w:bCs/>
          <w:color w:val="000000"/>
          <w:szCs w:val="21"/>
          <w:lang w:val="en-US"/>
        </w:rPr>
      </w:pPr>
      <w:r w:rsidRPr="00E579CB">
        <w:rPr>
          <w:rFonts w:cs="Arial"/>
          <w:bCs/>
          <w:color w:val="000000"/>
          <w:szCs w:val="21"/>
          <w:lang w:val="en-US"/>
        </w:rPr>
        <w:t xml:space="preserve">The operating lease commitment is in relation to the property lease for the Box Hill premises (expiring on 5 October 2022) and a leased printer (expiring on 22 May 2022). </w:t>
      </w:r>
    </w:p>
    <w:p w:rsidR="00E579CB" w:rsidRPr="00E579CB" w:rsidRDefault="00E579CB" w:rsidP="00E579CB">
      <w:pPr>
        <w:pStyle w:val="Heading-Note"/>
        <w:tabs>
          <w:tab w:val="left" w:pos="566"/>
        </w:tabs>
        <w:spacing w:before="0" w:after="120" w:line="280" w:lineRule="atLeast"/>
        <w:rPr>
          <w:rFonts w:ascii="Helvetica Neue" w:hAnsi="Helvetica Neue" w:cs="Arial"/>
          <w:sz w:val="21"/>
          <w:szCs w:val="21"/>
        </w:rPr>
      </w:pPr>
      <w:r w:rsidRPr="00E579CB">
        <w:rPr>
          <w:rFonts w:ascii="Helvetica Neue" w:hAnsi="Helvetica Neue" w:cs="Arial"/>
          <w:sz w:val="21"/>
          <w:szCs w:val="21"/>
        </w:rPr>
        <w:t>16 Competitive Research Grant</w:t>
      </w:r>
    </w:p>
    <w:p w:rsidR="00E579CB" w:rsidRPr="00E579CB" w:rsidRDefault="00E579CB" w:rsidP="00E579CB">
      <w:pPr>
        <w:spacing w:line="280" w:lineRule="atLeast"/>
        <w:rPr>
          <w:rFonts w:cs="Arial"/>
          <w:bCs/>
          <w:color w:val="000000"/>
          <w:szCs w:val="21"/>
          <w:lang w:val="en-US"/>
        </w:rPr>
      </w:pPr>
      <w:r w:rsidRPr="00E579CB">
        <w:rPr>
          <w:rFonts w:cs="Arial"/>
          <w:bCs/>
          <w:color w:val="000000"/>
          <w:szCs w:val="21"/>
          <w:lang w:val="en-US"/>
        </w:rPr>
        <w:t xml:space="preserve">The company has a commitment to the University of NSW for a research project totaling $402,190 that commences 1 July 2019 and spans 3 years. $160,000 of the project amount has been invoiced and </w:t>
      </w:r>
      <w:proofErr w:type="spellStart"/>
      <w:r w:rsidRPr="00E579CB">
        <w:rPr>
          <w:rFonts w:cs="Arial"/>
          <w:bCs/>
          <w:color w:val="000000"/>
          <w:szCs w:val="21"/>
          <w:lang w:val="en-US"/>
        </w:rPr>
        <w:t>recognised</w:t>
      </w:r>
      <w:proofErr w:type="spellEnd"/>
      <w:r w:rsidRPr="00E579CB">
        <w:rPr>
          <w:rFonts w:cs="Arial"/>
          <w:bCs/>
          <w:color w:val="000000"/>
          <w:szCs w:val="21"/>
          <w:lang w:val="en-US"/>
        </w:rPr>
        <w:t xml:space="preserve"> as a trade payable. The remaining portion will be paid once work commences, which is in line with the contract that has been entered into with the University of NSW.</w:t>
      </w:r>
    </w:p>
    <w:p w:rsidR="00E579CB" w:rsidRPr="00E579CB" w:rsidRDefault="00E579CB" w:rsidP="00E579CB">
      <w:pPr>
        <w:pStyle w:val="Heading-Note"/>
        <w:tabs>
          <w:tab w:val="left" w:pos="566"/>
        </w:tabs>
        <w:spacing w:before="0" w:after="120" w:line="280" w:lineRule="atLeast"/>
        <w:rPr>
          <w:rFonts w:ascii="Helvetica Neue" w:hAnsi="Helvetica Neue" w:cs="Arial"/>
          <w:sz w:val="21"/>
          <w:szCs w:val="21"/>
        </w:rPr>
      </w:pPr>
      <w:r w:rsidRPr="00E579CB">
        <w:rPr>
          <w:rFonts w:ascii="Helvetica Neue" w:hAnsi="Helvetica Neue" w:cs="Arial"/>
          <w:sz w:val="21"/>
          <w:szCs w:val="21"/>
        </w:rPr>
        <w:t>17 Events occurring after the reporting date</w:t>
      </w:r>
    </w:p>
    <w:p w:rsidR="00E579CB" w:rsidRPr="00E579CB" w:rsidRDefault="00E579CB" w:rsidP="00E579CB">
      <w:pPr>
        <w:spacing w:line="280" w:lineRule="atLeast"/>
        <w:rPr>
          <w:rFonts w:cs="Arial"/>
          <w:color w:val="000000"/>
          <w:szCs w:val="21"/>
        </w:rPr>
      </w:pPr>
      <w:r w:rsidRPr="00E579CB">
        <w:rPr>
          <w:rFonts w:cs="Arial"/>
          <w:color w:val="000000"/>
          <w:szCs w:val="21"/>
        </w:rPr>
        <w:t>No matters or circumstances have arisen since 30 June 2019 which significantly affected or may significantly affect the operations of Summer Foundation Limited, the results of those operations, or the state of affairs of Summer Foundation Limited in future financial years.</w:t>
      </w:r>
    </w:p>
    <w:p w:rsidR="00E579CB" w:rsidRPr="00E579CB" w:rsidRDefault="00E579CB" w:rsidP="00E579CB">
      <w:pPr>
        <w:spacing w:line="280" w:lineRule="atLeast"/>
        <w:rPr>
          <w:rFonts w:cs="Arial"/>
          <w:b/>
          <w:bCs/>
          <w:color w:val="000000"/>
          <w:szCs w:val="21"/>
          <w:lang w:val="en-US"/>
        </w:rPr>
      </w:pPr>
      <w:r w:rsidRPr="00E579CB">
        <w:rPr>
          <w:rFonts w:cs="Arial"/>
          <w:color w:val="000000"/>
          <w:szCs w:val="21"/>
        </w:rPr>
        <w:br w:type="page"/>
      </w:r>
      <w:r w:rsidRPr="00E579CB">
        <w:rPr>
          <w:rFonts w:cs="Arial"/>
          <w:b/>
          <w:bCs/>
          <w:color w:val="000000"/>
          <w:szCs w:val="21"/>
          <w:lang w:val="en-US"/>
        </w:rPr>
        <w:lastRenderedPageBreak/>
        <w:t>Directors’ Declaration</w:t>
      </w:r>
    </w:p>
    <w:p w:rsidR="00E579CB" w:rsidRPr="00E579CB" w:rsidRDefault="00E579CB" w:rsidP="00E579CB">
      <w:pPr>
        <w:pStyle w:val="Tabletext9pt"/>
        <w:spacing w:before="0" w:after="120" w:line="280" w:lineRule="atLeast"/>
        <w:rPr>
          <w:rFonts w:ascii="Helvetica Neue" w:hAnsi="Helvetica Neue"/>
          <w:color w:val="000000"/>
          <w:sz w:val="21"/>
          <w:szCs w:val="21"/>
        </w:rPr>
      </w:pPr>
      <w:bookmarkStart w:id="11" w:name="p10_0650"/>
      <w:bookmarkEnd w:id="11"/>
      <w:r w:rsidRPr="00E579CB">
        <w:rPr>
          <w:rFonts w:ascii="Helvetica Neue" w:hAnsi="Helvetica Neue"/>
          <w:color w:val="000000"/>
          <w:sz w:val="21"/>
          <w:szCs w:val="21"/>
        </w:rPr>
        <w:t>In the directors’ opinion:</w:t>
      </w:r>
    </w:p>
    <w:p w:rsidR="00E579CB" w:rsidRPr="00E579CB" w:rsidRDefault="00E579CB" w:rsidP="002E5863">
      <w:pPr>
        <w:pStyle w:val="Tabletext9pt"/>
        <w:numPr>
          <w:ilvl w:val="0"/>
          <w:numId w:val="10"/>
        </w:numPr>
        <w:spacing w:before="0" w:after="120" w:line="280" w:lineRule="atLeast"/>
        <w:ind w:left="567" w:hanging="567"/>
        <w:rPr>
          <w:rFonts w:ascii="Helvetica Neue" w:hAnsi="Helvetica Neue"/>
          <w:color w:val="000000"/>
          <w:sz w:val="21"/>
          <w:szCs w:val="21"/>
        </w:rPr>
      </w:pPr>
      <w:r w:rsidRPr="00E579CB">
        <w:rPr>
          <w:rFonts w:ascii="Helvetica Neue" w:hAnsi="Helvetica Neue"/>
          <w:color w:val="000000"/>
          <w:sz w:val="21"/>
          <w:szCs w:val="21"/>
        </w:rPr>
        <w:t xml:space="preserve">the financial statements and notes set out in pages 11 to 24, are in accordance with the </w:t>
      </w:r>
      <w:r w:rsidRPr="00E579CB">
        <w:rPr>
          <w:rFonts w:ascii="Helvetica Neue" w:hAnsi="Helvetica Neue"/>
          <w:i/>
          <w:color w:val="000000"/>
          <w:sz w:val="21"/>
          <w:szCs w:val="21"/>
        </w:rPr>
        <w:t>Australian Charities and Not-for-profit Commission Act 2012</w:t>
      </w:r>
      <w:r w:rsidRPr="00E579CB">
        <w:rPr>
          <w:rFonts w:ascii="Helvetica Neue" w:hAnsi="Helvetica Neue"/>
          <w:color w:val="000000"/>
          <w:sz w:val="21"/>
          <w:szCs w:val="21"/>
        </w:rPr>
        <w:t xml:space="preserve"> including:</w:t>
      </w:r>
    </w:p>
    <w:p w:rsidR="00E579CB" w:rsidRPr="00E579CB" w:rsidRDefault="00E579CB" w:rsidP="002E5863">
      <w:pPr>
        <w:pStyle w:val="Tabletext9pt"/>
        <w:numPr>
          <w:ilvl w:val="5"/>
          <w:numId w:val="8"/>
        </w:numPr>
        <w:tabs>
          <w:tab w:val="clear" w:pos="2160"/>
        </w:tabs>
        <w:spacing w:before="0" w:after="120" w:line="280" w:lineRule="atLeast"/>
        <w:ind w:left="993" w:hanging="426"/>
        <w:rPr>
          <w:rFonts w:ascii="Helvetica Neue" w:hAnsi="Helvetica Neue"/>
          <w:color w:val="000000"/>
          <w:sz w:val="21"/>
          <w:szCs w:val="21"/>
        </w:rPr>
      </w:pPr>
      <w:r w:rsidRPr="00E579CB">
        <w:rPr>
          <w:rFonts w:ascii="Helvetica Neue" w:hAnsi="Helvetica Neue"/>
          <w:color w:val="000000"/>
          <w:sz w:val="21"/>
          <w:szCs w:val="21"/>
        </w:rPr>
        <w:t xml:space="preserve">complying with Australian Accounting Standards – Reduced Disclosure Requirements, the </w:t>
      </w:r>
      <w:r w:rsidRPr="00E579CB">
        <w:rPr>
          <w:rStyle w:val="Tablecharitalics9pt"/>
          <w:rFonts w:ascii="Helvetica Neue" w:hAnsi="Helvetica Neue"/>
          <w:color w:val="000000"/>
          <w:sz w:val="21"/>
          <w:szCs w:val="21"/>
        </w:rPr>
        <w:t>Australian Charities and Not-for-profits Commission Regulation 2013,</w:t>
      </w:r>
      <w:r w:rsidRPr="00E579CB">
        <w:rPr>
          <w:rFonts w:ascii="Helvetica Neue" w:hAnsi="Helvetica Neue"/>
          <w:color w:val="000000"/>
          <w:sz w:val="21"/>
          <w:szCs w:val="21"/>
        </w:rPr>
        <w:t xml:space="preserve"> and other mandatory professional reporting requirements; and</w:t>
      </w:r>
    </w:p>
    <w:p w:rsidR="00E579CB" w:rsidRPr="00E579CB" w:rsidRDefault="00E579CB" w:rsidP="002E5863">
      <w:pPr>
        <w:pStyle w:val="Tabletext9pt"/>
        <w:numPr>
          <w:ilvl w:val="5"/>
          <w:numId w:val="8"/>
        </w:numPr>
        <w:tabs>
          <w:tab w:val="clear" w:pos="2160"/>
        </w:tabs>
        <w:spacing w:before="0" w:after="120" w:line="280" w:lineRule="atLeast"/>
        <w:ind w:left="993" w:hanging="426"/>
        <w:rPr>
          <w:rFonts w:ascii="Helvetica Neue" w:hAnsi="Helvetica Neue"/>
          <w:color w:val="000000"/>
          <w:sz w:val="21"/>
          <w:szCs w:val="21"/>
        </w:rPr>
      </w:pPr>
      <w:r w:rsidRPr="00E579CB">
        <w:rPr>
          <w:rFonts w:ascii="Helvetica Neue" w:hAnsi="Helvetica Neue"/>
          <w:color w:val="000000"/>
          <w:sz w:val="21"/>
          <w:szCs w:val="21"/>
        </w:rPr>
        <w:t>giving a true and fair view of the company’s financial position as at 30 June 2019 and of its performance for the financial year ended on that date; and</w:t>
      </w:r>
    </w:p>
    <w:p w:rsidR="00E579CB" w:rsidRPr="00E579CB" w:rsidRDefault="00E579CB" w:rsidP="002E5863">
      <w:pPr>
        <w:pStyle w:val="Tabletext9pt"/>
        <w:numPr>
          <w:ilvl w:val="0"/>
          <w:numId w:val="10"/>
        </w:numPr>
        <w:spacing w:before="0" w:after="120" w:line="280" w:lineRule="atLeast"/>
        <w:ind w:left="567" w:hanging="567"/>
        <w:rPr>
          <w:rFonts w:ascii="Helvetica Neue" w:hAnsi="Helvetica Neue"/>
          <w:color w:val="000000"/>
          <w:sz w:val="21"/>
          <w:szCs w:val="21"/>
        </w:rPr>
      </w:pPr>
      <w:r w:rsidRPr="00E579CB">
        <w:rPr>
          <w:rFonts w:ascii="Helvetica Neue" w:hAnsi="Helvetica Neue"/>
          <w:color w:val="000000"/>
          <w:sz w:val="21"/>
          <w:szCs w:val="21"/>
        </w:rPr>
        <w:t>there are reasonable grounds to believe that the company will be able to pay its debts as and when they become due and payable.</w:t>
      </w:r>
    </w:p>
    <w:p w:rsidR="00E579CB" w:rsidRPr="00E579CB" w:rsidRDefault="00E579CB" w:rsidP="00E579CB">
      <w:pPr>
        <w:pStyle w:val="acctsacctname"/>
        <w:spacing w:after="120" w:line="280" w:lineRule="atLeast"/>
        <w:ind w:left="567" w:hanging="567"/>
        <w:jc w:val="left"/>
        <w:rPr>
          <w:rFonts w:ascii="Helvetica Neue" w:hAnsi="Helvetica Neue"/>
          <w:b w:val="0"/>
          <w:bCs w:val="0"/>
          <w:caps w:val="0"/>
          <w:noProof/>
          <w:color w:val="000000"/>
          <w:sz w:val="21"/>
          <w:szCs w:val="21"/>
        </w:rPr>
      </w:pPr>
      <w:r w:rsidRPr="00E579CB">
        <w:rPr>
          <w:rFonts w:ascii="Helvetica Neue" w:hAnsi="Helvetica Neue"/>
          <w:b w:val="0"/>
          <w:bCs w:val="0"/>
          <w:caps w:val="0"/>
          <w:noProof/>
          <w:color w:val="000000"/>
          <w:sz w:val="21"/>
          <w:szCs w:val="21"/>
        </w:rPr>
        <w:t>This declaration is made in accordance with a resolution of the directors.</w:t>
      </w:r>
    </w:p>
    <w:p w:rsidR="00E579CB" w:rsidRPr="00E579CB" w:rsidRDefault="00E579CB" w:rsidP="00E579CB">
      <w:pPr>
        <w:pStyle w:val="acctsacctname"/>
        <w:spacing w:after="120" w:line="280" w:lineRule="atLeast"/>
        <w:jc w:val="left"/>
        <w:rPr>
          <w:rFonts w:ascii="Helvetica Neue" w:hAnsi="Helvetica Neue"/>
          <w:b w:val="0"/>
          <w:bCs w:val="0"/>
          <w:caps w:val="0"/>
          <w:noProof/>
          <w:color w:val="000000"/>
          <w:sz w:val="21"/>
          <w:szCs w:val="21"/>
        </w:rPr>
      </w:pPr>
    </w:p>
    <w:p w:rsidR="00E579CB" w:rsidRPr="00E579CB" w:rsidRDefault="00E579CB" w:rsidP="00E579CB">
      <w:pPr>
        <w:pStyle w:val="acctsacctname"/>
        <w:spacing w:after="120" w:line="280" w:lineRule="atLeast"/>
        <w:jc w:val="left"/>
        <w:rPr>
          <w:rFonts w:ascii="Helvetica Neue" w:hAnsi="Helvetica Neue"/>
          <w:b w:val="0"/>
          <w:bCs w:val="0"/>
          <w:caps w:val="0"/>
          <w:noProof/>
          <w:color w:val="000000"/>
          <w:sz w:val="21"/>
          <w:szCs w:val="21"/>
        </w:rPr>
      </w:pPr>
    </w:p>
    <w:p w:rsidR="00E579CB" w:rsidRPr="00E579CB" w:rsidRDefault="00E579CB" w:rsidP="00E579CB">
      <w:pPr>
        <w:pStyle w:val="Tabletext9pt"/>
        <w:spacing w:before="0" w:after="120" w:line="280" w:lineRule="atLeast"/>
        <w:rPr>
          <w:rFonts w:ascii="Helvetica Neue" w:hAnsi="Helvetica Neue"/>
          <w:color w:val="000000"/>
          <w:sz w:val="21"/>
          <w:szCs w:val="21"/>
        </w:rPr>
      </w:pPr>
      <w:r w:rsidRPr="00E579CB">
        <w:rPr>
          <w:rFonts w:ascii="Helvetica Neue" w:hAnsi="Helvetica Neue"/>
          <w:color w:val="000000"/>
          <w:sz w:val="21"/>
          <w:szCs w:val="21"/>
        </w:rPr>
        <w:t>Signed on behalf of the Board of Directors.</w:t>
      </w:r>
    </w:p>
    <w:p w:rsidR="00E579CB" w:rsidRPr="00E579CB" w:rsidRDefault="00E579CB" w:rsidP="00E579CB">
      <w:pPr>
        <w:pStyle w:val="para"/>
        <w:spacing w:before="0" w:after="120" w:line="280" w:lineRule="atLeast"/>
        <w:rPr>
          <w:rFonts w:ascii="Helvetica Neue" w:hAnsi="Helvetica Neue"/>
          <w:b/>
          <w:bCs/>
          <w:color w:val="000000"/>
          <w:sz w:val="21"/>
          <w:szCs w:val="21"/>
        </w:rPr>
      </w:pPr>
      <w:r w:rsidRPr="00E579CB">
        <w:rPr>
          <w:rFonts w:ascii="Helvetica Neue" w:hAnsi="Helvetica Neue"/>
          <w:b/>
          <w:bCs/>
          <w:noProof/>
          <w:color w:val="000000"/>
          <w:sz w:val="21"/>
          <w:szCs w:val="21"/>
        </w:rPr>
        <w:drawing>
          <wp:inline distT="0" distB="0" distL="0" distR="0" wp14:anchorId="60C0FEA2" wp14:editId="66F575F9">
            <wp:extent cx="1536700"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 Sig.jpg"/>
                    <pic:cNvPicPr/>
                  </pic:nvPicPr>
                  <pic:blipFill>
                    <a:blip r:embed="rId8">
                      <a:extLst>
                        <a:ext uri="{28A0092B-C50C-407E-A947-70E740481C1C}">
                          <a14:useLocalDpi xmlns:a14="http://schemas.microsoft.com/office/drawing/2010/main" val="0"/>
                        </a:ext>
                      </a:extLst>
                    </a:blip>
                    <a:stretch>
                      <a:fillRect/>
                    </a:stretch>
                  </pic:blipFill>
                  <pic:spPr>
                    <a:xfrm>
                      <a:off x="0" y="0"/>
                      <a:ext cx="1536700" cy="927100"/>
                    </a:xfrm>
                    <a:prstGeom prst="rect">
                      <a:avLst/>
                    </a:prstGeom>
                  </pic:spPr>
                </pic:pic>
              </a:graphicData>
            </a:graphic>
          </wp:inline>
        </w:drawing>
      </w:r>
    </w:p>
    <w:p w:rsidR="00E579CB" w:rsidRPr="00E579CB" w:rsidRDefault="00E579CB" w:rsidP="00E579CB">
      <w:pPr>
        <w:pStyle w:val="para"/>
        <w:spacing w:before="0" w:after="120" w:line="280" w:lineRule="atLeast"/>
        <w:rPr>
          <w:rFonts w:ascii="Helvetica Neue" w:hAnsi="Helvetica Neue"/>
          <w:b/>
          <w:bCs/>
          <w:color w:val="000000"/>
          <w:sz w:val="21"/>
          <w:szCs w:val="21"/>
        </w:rPr>
      </w:pPr>
    </w:p>
    <w:p w:rsidR="00E579CB" w:rsidRPr="00E579CB" w:rsidRDefault="00E579CB" w:rsidP="00E579CB">
      <w:pPr>
        <w:pStyle w:val="para"/>
        <w:spacing w:before="0" w:after="120" w:line="280" w:lineRule="atLeast"/>
        <w:rPr>
          <w:rFonts w:ascii="Helvetica Neue" w:hAnsi="Helvetica Neue"/>
          <w:b/>
          <w:bCs/>
          <w:color w:val="000000"/>
          <w:sz w:val="21"/>
          <w:szCs w:val="21"/>
        </w:rPr>
      </w:pPr>
    </w:p>
    <w:p w:rsidR="00E579CB" w:rsidRPr="00E579CB" w:rsidRDefault="00E579CB" w:rsidP="00E579CB">
      <w:pPr>
        <w:pStyle w:val="para"/>
        <w:tabs>
          <w:tab w:val="clear" w:pos="0"/>
          <w:tab w:val="right" w:pos="8364"/>
        </w:tabs>
        <w:spacing w:before="0" w:after="120" w:line="280" w:lineRule="atLeast"/>
        <w:rPr>
          <w:rFonts w:ascii="Helvetica Neue" w:hAnsi="Helvetica Neue"/>
          <w:bCs/>
          <w:color w:val="000000"/>
          <w:sz w:val="21"/>
          <w:szCs w:val="21"/>
        </w:rPr>
      </w:pPr>
      <w:r w:rsidRPr="00E579CB">
        <w:rPr>
          <w:rFonts w:ascii="Helvetica Neue" w:hAnsi="Helvetica Neue"/>
          <w:bCs/>
          <w:color w:val="000000"/>
          <w:sz w:val="21"/>
          <w:szCs w:val="21"/>
        </w:rPr>
        <w:t>Jason Chequer</w:t>
      </w:r>
    </w:p>
    <w:p w:rsidR="00E579CB" w:rsidRPr="00E579CB" w:rsidRDefault="00E579CB" w:rsidP="00E579CB">
      <w:pPr>
        <w:pStyle w:val="para"/>
        <w:tabs>
          <w:tab w:val="clear" w:pos="0"/>
          <w:tab w:val="right" w:pos="8364"/>
        </w:tabs>
        <w:spacing w:before="0" w:after="120" w:line="280" w:lineRule="atLeast"/>
        <w:rPr>
          <w:rFonts w:ascii="Helvetica Neue" w:hAnsi="Helvetica Neue"/>
          <w:bCs/>
          <w:color w:val="000000"/>
          <w:sz w:val="21"/>
          <w:szCs w:val="21"/>
        </w:rPr>
      </w:pPr>
      <w:r w:rsidRPr="00E579CB">
        <w:rPr>
          <w:rFonts w:ascii="Helvetica Neue" w:hAnsi="Helvetica Neue"/>
          <w:bCs/>
          <w:color w:val="000000"/>
          <w:sz w:val="21"/>
          <w:szCs w:val="21"/>
        </w:rPr>
        <w:t>Director</w:t>
      </w:r>
      <w:r w:rsidRPr="00E579CB">
        <w:rPr>
          <w:rFonts w:ascii="Helvetica Neue" w:hAnsi="Helvetica Neue"/>
          <w:bCs/>
          <w:color w:val="000000"/>
          <w:sz w:val="21"/>
          <w:szCs w:val="21"/>
        </w:rPr>
        <w:tab/>
      </w:r>
    </w:p>
    <w:p w:rsidR="00E579CB" w:rsidRPr="00E579CB" w:rsidRDefault="00E579CB" w:rsidP="00E579CB">
      <w:pPr>
        <w:pStyle w:val="para"/>
        <w:tabs>
          <w:tab w:val="clear" w:pos="0"/>
          <w:tab w:val="right" w:pos="8364"/>
        </w:tabs>
        <w:spacing w:before="0" w:after="120" w:line="280" w:lineRule="atLeast"/>
        <w:rPr>
          <w:rFonts w:ascii="Helvetica Neue" w:hAnsi="Helvetica Neue"/>
          <w:bCs/>
          <w:color w:val="000000"/>
          <w:sz w:val="21"/>
          <w:szCs w:val="21"/>
        </w:rPr>
      </w:pPr>
    </w:p>
    <w:p w:rsidR="00E579CB" w:rsidRPr="00E579CB" w:rsidRDefault="00E579CB" w:rsidP="00E579CB">
      <w:pPr>
        <w:pStyle w:val="para"/>
        <w:tabs>
          <w:tab w:val="clear" w:pos="0"/>
          <w:tab w:val="right" w:pos="8364"/>
        </w:tabs>
        <w:spacing w:before="0" w:after="120" w:line="280" w:lineRule="atLeast"/>
        <w:rPr>
          <w:rFonts w:ascii="Helvetica Neue" w:hAnsi="Helvetica Neue"/>
          <w:color w:val="000000"/>
          <w:sz w:val="21"/>
          <w:szCs w:val="21"/>
        </w:rPr>
      </w:pPr>
      <w:r w:rsidRPr="00E579CB">
        <w:rPr>
          <w:rFonts w:ascii="Helvetica Neue" w:hAnsi="Helvetica Neue"/>
          <w:bCs/>
          <w:color w:val="000000"/>
          <w:sz w:val="21"/>
          <w:szCs w:val="21"/>
        </w:rPr>
        <w:t>Melbourne, 9 October 2019</w:t>
      </w:r>
    </w:p>
    <w:p w:rsidR="00685439" w:rsidRDefault="00685439">
      <w:pPr>
        <w:spacing w:after="0" w:line="240" w:lineRule="auto"/>
        <w:rPr>
          <w:i/>
          <w:szCs w:val="21"/>
        </w:rPr>
      </w:pPr>
      <w:r>
        <w:rPr>
          <w:i/>
          <w:szCs w:val="21"/>
        </w:rPr>
        <w:br w:type="page"/>
      </w:r>
    </w:p>
    <w:p w:rsidR="00685439" w:rsidRPr="003A0CA8" w:rsidRDefault="00685439" w:rsidP="00685439">
      <w:pPr>
        <w:pStyle w:val="TitleBox"/>
        <w:rPr>
          <w:lang w:val="en-US"/>
        </w:rPr>
      </w:pPr>
      <w:r>
        <w:rPr>
          <w:b w:val="0"/>
          <w:lang w:val="en-US"/>
        </w:rPr>
        <w:lastRenderedPageBreak/>
        <w:t>With thanks</w:t>
      </w:r>
    </w:p>
    <w:p w:rsidR="00685439" w:rsidRPr="00685439" w:rsidRDefault="00685439" w:rsidP="00685439">
      <w:pPr>
        <w:pStyle w:val="Heading1"/>
        <w:rPr>
          <w:w w:val="98"/>
          <w:lang w:val="en-US"/>
        </w:rPr>
      </w:pPr>
      <w:r w:rsidRPr="00685439">
        <w:rPr>
          <w:w w:val="98"/>
          <w:lang w:val="en-US"/>
        </w:rPr>
        <w:t>OUR SUPPORTERS</w:t>
      </w:r>
    </w:p>
    <w:p w:rsidR="00685439" w:rsidRDefault="00685439" w:rsidP="00685439">
      <w:pPr>
        <w:spacing w:before="120" w:after="0"/>
      </w:pPr>
      <w:r>
        <w:t>The Summer Foundation warmly thanks the organisations and individuals that have supported our work through grants, fundraising and in-kind support.</w:t>
      </w:r>
      <w:r>
        <w:rPr>
          <w:spacing w:val="-4"/>
          <w:w w:val="97"/>
        </w:rPr>
        <w:t xml:space="preserve"> </w:t>
      </w:r>
      <w:r>
        <w:rPr>
          <w:spacing w:val="-4"/>
          <w:w w:val="97"/>
        </w:rPr>
        <w:br/>
      </w:r>
      <w:r w:rsidRPr="00685439">
        <w:rPr>
          <w:rStyle w:val="Heading2Char"/>
        </w:rPr>
        <w:t>Corporate support</w:t>
      </w:r>
    </w:p>
    <w:p w:rsidR="00685439" w:rsidRDefault="00685439" w:rsidP="009714B9">
      <w:pPr>
        <w:pStyle w:val="Bullets"/>
      </w:pPr>
      <w:r>
        <w:t xml:space="preserve">National Australia Bank </w:t>
      </w:r>
    </w:p>
    <w:p w:rsidR="00685439" w:rsidRDefault="00685439" w:rsidP="009714B9">
      <w:pPr>
        <w:pStyle w:val="Bullets"/>
      </w:pPr>
      <w:r>
        <w:t>Oscar Building</w:t>
      </w:r>
    </w:p>
    <w:p w:rsidR="00685439" w:rsidRDefault="00685439" w:rsidP="009714B9">
      <w:pPr>
        <w:pStyle w:val="Bullets"/>
      </w:pPr>
      <w:r>
        <w:t>Rotary Club of Mont Albert &amp; Surrey Hills</w:t>
      </w:r>
    </w:p>
    <w:p w:rsidR="00685439" w:rsidRDefault="00685439" w:rsidP="009714B9">
      <w:pPr>
        <w:pStyle w:val="Bullets"/>
      </w:pPr>
      <w:r>
        <w:t>Sigma Healthcare</w:t>
      </w:r>
    </w:p>
    <w:p w:rsidR="00685439" w:rsidRDefault="00685439" w:rsidP="009714B9">
      <w:pPr>
        <w:pStyle w:val="Bullets"/>
      </w:pPr>
      <w:r>
        <w:t>Social Ventures Australia</w:t>
      </w:r>
    </w:p>
    <w:p w:rsidR="00685439" w:rsidRDefault="00685439" w:rsidP="009714B9">
      <w:pPr>
        <w:pStyle w:val="Bullets"/>
      </w:pPr>
      <w:r>
        <w:t>Stretchy Tech</w:t>
      </w:r>
    </w:p>
    <w:p w:rsidR="00685439" w:rsidRDefault="00685439" w:rsidP="009714B9">
      <w:pPr>
        <w:pStyle w:val="BUlletslast"/>
      </w:pPr>
      <w:r>
        <w:t>Workplace giving donors through Good2Give</w:t>
      </w:r>
    </w:p>
    <w:p w:rsidR="00685439" w:rsidRPr="00685439" w:rsidRDefault="00685439" w:rsidP="00685439">
      <w:pPr>
        <w:rPr>
          <w:rStyle w:val="Heading2Char"/>
        </w:rPr>
      </w:pPr>
      <w:r w:rsidRPr="00685439">
        <w:rPr>
          <w:rStyle w:val="Heading2Char"/>
        </w:rPr>
        <w:t>Trusts and Foundations</w:t>
      </w:r>
    </w:p>
    <w:p w:rsidR="00685439" w:rsidRDefault="00685439" w:rsidP="009714B9">
      <w:pPr>
        <w:pStyle w:val="Bullets"/>
      </w:pPr>
      <w:r>
        <w:t>The Cranwell Family Trust No.2</w:t>
      </w:r>
    </w:p>
    <w:p w:rsidR="00685439" w:rsidRDefault="00685439" w:rsidP="009714B9">
      <w:pPr>
        <w:pStyle w:val="Bullets"/>
      </w:pPr>
      <w:r>
        <w:t>Equity Trustees</w:t>
      </w:r>
    </w:p>
    <w:p w:rsidR="00685439" w:rsidRDefault="00685439" w:rsidP="009714B9">
      <w:pPr>
        <w:pStyle w:val="Bullets"/>
      </w:pPr>
      <w:r>
        <w:t>The Goodridge Foundation</w:t>
      </w:r>
    </w:p>
    <w:p w:rsidR="00685439" w:rsidRDefault="00685439" w:rsidP="009714B9">
      <w:pPr>
        <w:pStyle w:val="Bullets"/>
      </w:pPr>
      <w:r>
        <w:t xml:space="preserve">Jack </w:t>
      </w:r>
      <w:proofErr w:type="spellStart"/>
      <w:r>
        <w:t>Brockhoff</w:t>
      </w:r>
      <w:proofErr w:type="spellEnd"/>
      <w:r>
        <w:t xml:space="preserve"> Foundation</w:t>
      </w:r>
    </w:p>
    <w:p w:rsidR="00685439" w:rsidRDefault="00685439" w:rsidP="009714B9">
      <w:pPr>
        <w:pStyle w:val="Bullets"/>
      </w:pPr>
      <w:r>
        <w:t>Michaela Arnott Foundation</w:t>
      </w:r>
    </w:p>
    <w:p w:rsidR="00685439" w:rsidRDefault="00685439" w:rsidP="009714B9">
      <w:pPr>
        <w:pStyle w:val="Bullets"/>
      </w:pPr>
      <w:r>
        <w:t>National Disability Services - Innovative Workforce Fund</w:t>
      </w:r>
    </w:p>
    <w:p w:rsidR="00685439" w:rsidRDefault="00685439" w:rsidP="009714B9">
      <w:pPr>
        <w:pStyle w:val="Bullets"/>
      </w:pPr>
      <w:r>
        <w:t>Rees Family Foundation</w:t>
      </w:r>
    </w:p>
    <w:p w:rsidR="00685439" w:rsidRDefault="00685439" w:rsidP="009714B9">
      <w:pPr>
        <w:pStyle w:val="Bullets"/>
      </w:pPr>
      <w:r>
        <w:t>W.C.F. Thomas Charitable Trust</w:t>
      </w:r>
    </w:p>
    <w:p w:rsidR="00685439" w:rsidRDefault="00685439" w:rsidP="009714B9">
      <w:pPr>
        <w:pStyle w:val="BUlletslast"/>
      </w:pPr>
      <w:r>
        <w:t>William Buckland Foundation</w:t>
      </w:r>
    </w:p>
    <w:p w:rsidR="00685439" w:rsidRDefault="00685439">
      <w:pPr>
        <w:spacing w:after="0" w:line="240" w:lineRule="auto"/>
        <w:rPr>
          <w:rFonts w:ascii="Helvetica Neue Condensed" w:eastAsia="Helvetica Neue" w:hAnsi="Helvetica Neue Condensed" w:cstheme="majorBidi"/>
          <w:b/>
          <w:color w:val="000000" w:themeColor="text1"/>
          <w:sz w:val="40"/>
          <w:szCs w:val="40"/>
        </w:rPr>
      </w:pPr>
      <w:r>
        <w:br w:type="page"/>
      </w:r>
    </w:p>
    <w:p w:rsidR="00685439" w:rsidRDefault="00685439" w:rsidP="00685439">
      <w:pPr>
        <w:pStyle w:val="Heading2"/>
      </w:pPr>
      <w:r>
        <w:lastRenderedPageBreak/>
        <w:t>Donors and Bequests</w:t>
      </w:r>
    </w:p>
    <w:p w:rsidR="00685439" w:rsidRDefault="00685439" w:rsidP="009714B9">
      <w:pPr>
        <w:pStyle w:val="Bullets"/>
      </w:pPr>
      <w:r>
        <w:t>Alexandra Wood</w:t>
      </w:r>
    </w:p>
    <w:p w:rsidR="00685439" w:rsidRDefault="00685439" w:rsidP="009714B9">
      <w:pPr>
        <w:pStyle w:val="Bullets"/>
      </w:pPr>
      <w:r>
        <w:t>Darren Wilcox</w:t>
      </w:r>
    </w:p>
    <w:p w:rsidR="00685439" w:rsidRDefault="00685439" w:rsidP="009714B9">
      <w:pPr>
        <w:pStyle w:val="Bullets"/>
      </w:pPr>
      <w:r>
        <w:t xml:space="preserve">David </w:t>
      </w:r>
      <w:proofErr w:type="spellStart"/>
      <w:r>
        <w:t>Lipshut</w:t>
      </w:r>
      <w:proofErr w:type="spellEnd"/>
    </w:p>
    <w:p w:rsidR="00685439" w:rsidRDefault="00685439" w:rsidP="009714B9">
      <w:pPr>
        <w:pStyle w:val="Bullets"/>
      </w:pPr>
      <w:r>
        <w:t>Diane &amp; Graham Cowley</w:t>
      </w:r>
    </w:p>
    <w:p w:rsidR="00685439" w:rsidRDefault="00685439" w:rsidP="009714B9">
      <w:pPr>
        <w:pStyle w:val="Bullets"/>
      </w:pPr>
      <w:proofErr w:type="spellStart"/>
      <w:r>
        <w:t>Fotini</w:t>
      </w:r>
      <w:proofErr w:type="spellEnd"/>
      <w:r>
        <w:t xml:space="preserve"> &amp; Gareth </w:t>
      </w:r>
      <w:proofErr w:type="spellStart"/>
      <w:r>
        <w:t>Canterford</w:t>
      </w:r>
      <w:proofErr w:type="spellEnd"/>
    </w:p>
    <w:p w:rsidR="00685439" w:rsidRDefault="00685439" w:rsidP="009714B9">
      <w:pPr>
        <w:pStyle w:val="Bullets"/>
      </w:pPr>
      <w:r>
        <w:t>Mark Hooper</w:t>
      </w:r>
    </w:p>
    <w:p w:rsidR="00685439" w:rsidRDefault="00685439" w:rsidP="009714B9">
      <w:pPr>
        <w:pStyle w:val="Bullets"/>
      </w:pPr>
      <w:r>
        <w:t>Michael Dalton</w:t>
      </w:r>
    </w:p>
    <w:p w:rsidR="00685439" w:rsidRDefault="00685439" w:rsidP="009714B9">
      <w:pPr>
        <w:pStyle w:val="BUlletslast"/>
      </w:pPr>
      <w:r>
        <w:t>Patricia Hurley</w:t>
      </w:r>
    </w:p>
    <w:p w:rsidR="00685439" w:rsidRDefault="00685439" w:rsidP="00685439">
      <w:pPr>
        <w:pStyle w:val="Heading2"/>
      </w:pPr>
      <w:r>
        <w:t>Government support</w:t>
      </w:r>
    </w:p>
    <w:p w:rsidR="00685439" w:rsidRDefault="00685439" w:rsidP="009714B9">
      <w:pPr>
        <w:pStyle w:val="Bullets"/>
      </w:pPr>
      <w:r>
        <w:t>National Disability Insurance Agency</w:t>
      </w:r>
    </w:p>
    <w:p w:rsidR="00685439" w:rsidRDefault="00685439" w:rsidP="009714B9">
      <w:pPr>
        <w:pStyle w:val="Bullets"/>
      </w:pPr>
      <w:r>
        <w:t>NDIS Quality and Safeguards Commission</w:t>
      </w:r>
    </w:p>
    <w:p w:rsidR="00685439" w:rsidRDefault="00685439" w:rsidP="009714B9">
      <w:pPr>
        <w:pStyle w:val="Bullets"/>
      </w:pPr>
      <w:r>
        <w:t>Department of Social Services (Commonwealth)</w:t>
      </w:r>
    </w:p>
    <w:p w:rsidR="00685439" w:rsidRDefault="00685439" w:rsidP="009714B9">
      <w:pPr>
        <w:pStyle w:val="Bullets"/>
      </w:pPr>
      <w:r>
        <w:t>Department of Attorney General (Commonwealth)</w:t>
      </w:r>
    </w:p>
    <w:p w:rsidR="00685439" w:rsidRDefault="00685439" w:rsidP="009714B9">
      <w:pPr>
        <w:pStyle w:val="Bullets"/>
      </w:pPr>
      <w:r>
        <w:t>Department of Health &amp; Human Services (Vic)</w:t>
      </w:r>
    </w:p>
    <w:p w:rsidR="00685439" w:rsidRDefault="00685439" w:rsidP="009714B9">
      <w:pPr>
        <w:pStyle w:val="Bullets"/>
      </w:pPr>
      <w:r>
        <w:t>Transport Accident Commission (Vic)</w:t>
      </w:r>
    </w:p>
    <w:p w:rsidR="00685439" w:rsidRDefault="00685439" w:rsidP="009714B9">
      <w:pPr>
        <w:pStyle w:val="Bullets"/>
      </w:pPr>
      <w:r>
        <w:t>Department of Human Services (SA)</w:t>
      </w:r>
    </w:p>
    <w:p w:rsidR="00685439" w:rsidRDefault="00685439" w:rsidP="009714B9">
      <w:pPr>
        <w:pStyle w:val="Bullets"/>
      </w:pPr>
      <w:r>
        <w:t>Department of Industry (NSW)</w:t>
      </w:r>
    </w:p>
    <w:p w:rsidR="00685439" w:rsidRDefault="00685439" w:rsidP="009714B9">
      <w:pPr>
        <w:pStyle w:val="Bullets"/>
      </w:pPr>
      <w:r>
        <w:t>Department of Housing &amp; Public Works (Qld)</w:t>
      </w:r>
    </w:p>
    <w:p w:rsidR="00685439" w:rsidRDefault="00685439" w:rsidP="009714B9">
      <w:pPr>
        <w:pStyle w:val="Bullets"/>
      </w:pPr>
      <w:r>
        <w:t>Department of Health (Qld)</w:t>
      </w:r>
    </w:p>
    <w:p w:rsidR="00685439" w:rsidRDefault="00685439" w:rsidP="009714B9">
      <w:pPr>
        <w:pStyle w:val="Bullets"/>
        <w:rPr>
          <w:w w:val="97"/>
        </w:rPr>
      </w:pPr>
      <w:r>
        <w:t>Department of Communities (Tas)</w:t>
      </w:r>
    </w:p>
    <w:p w:rsidR="00685439" w:rsidRDefault="00685439">
      <w:pPr>
        <w:spacing w:after="0" w:line="240" w:lineRule="auto"/>
        <w:rPr>
          <w:spacing w:val="-4"/>
          <w:w w:val="97"/>
        </w:rPr>
      </w:pPr>
      <w:r>
        <w:rPr>
          <w:spacing w:val="-4"/>
          <w:w w:val="97"/>
        </w:rPr>
        <w:br w:type="page"/>
      </w:r>
    </w:p>
    <w:p w:rsidR="00685439" w:rsidRPr="003A0CA8" w:rsidRDefault="00685439" w:rsidP="00685439">
      <w:pPr>
        <w:pStyle w:val="TitleBox"/>
        <w:rPr>
          <w:lang w:val="en-US"/>
        </w:rPr>
      </w:pPr>
      <w:r>
        <w:rPr>
          <w:b w:val="0"/>
          <w:lang w:val="en-US"/>
        </w:rPr>
        <w:lastRenderedPageBreak/>
        <w:t>Our supporters</w:t>
      </w:r>
    </w:p>
    <w:p w:rsidR="00685439" w:rsidRDefault="00685439" w:rsidP="00685439">
      <w:pPr>
        <w:pStyle w:val="Heading1"/>
      </w:pPr>
      <w:r>
        <w:t>PUBLICATIONS AND PRESENTATIONS</w:t>
      </w:r>
    </w:p>
    <w:p w:rsidR="00685439" w:rsidRDefault="00685439" w:rsidP="00685439">
      <w:pPr>
        <w:pStyle w:val="Heading2"/>
      </w:pPr>
      <w:r>
        <w:t>Reports</w:t>
      </w:r>
    </w:p>
    <w:p w:rsidR="00685439" w:rsidRDefault="00685439" w:rsidP="00685439">
      <w:proofErr w:type="spellStart"/>
      <w:r>
        <w:t>Bigby</w:t>
      </w:r>
      <w:proofErr w:type="spellEnd"/>
      <w:r>
        <w:t xml:space="preserve">, C., Douglas, J., and </w:t>
      </w:r>
      <w:proofErr w:type="spellStart"/>
      <w:r>
        <w:t>Iacono</w:t>
      </w:r>
      <w:proofErr w:type="spellEnd"/>
      <w:r>
        <w:t>, T. (2018). Enabling mainstream systems to be more inclusive and responsive to people with disabilities: Hospital encounters of adults with cognitive disabilities. Report for the National Disability Research and Development Agenda.</w:t>
      </w:r>
    </w:p>
    <w:p w:rsidR="00685439" w:rsidRDefault="00685439" w:rsidP="00685439">
      <w:r>
        <w:t xml:space="preserve">Oliver, S.B., </w:t>
      </w:r>
      <w:proofErr w:type="spellStart"/>
      <w:r>
        <w:t>Gosden</w:t>
      </w:r>
      <w:proofErr w:type="spellEnd"/>
      <w:r>
        <w:t xml:space="preserve">-Kaye, E.Z., </w:t>
      </w:r>
      <w:proofErr w:type="spellStart"/>
      <w:r>
        <w:t>Jarman</w:t>
      </w:r>
      <w:proofErr w:type="spellEnd"/>
      <w:r>
        <w:t>, H.K., Winkler, D., and Douglas, J.M. (2019). A scoping review to explore the experiences and outcomes of younger people with disabilities in residential aged care facilities: Interim Report. Melbourne, Australia: Summer Foundation.</w:t>
      </w:r>
    </w:p>
    <w:p w:rsidR="00685439" w:rsidRDefault="00685439" w:rsidP="00685439">
      <w:r>
        <w:t>Specialist Disability Accommodation – Supply in Australia (2019). Summer Foundation and Social Ventures Australia.</w:t>
      </w:r>
    </w:p>
    <w:p w:rsidR="00685439" w:rsidRDefault="00685439" w:rsidP="00685439">
      <w:pPr>
        <w:pStyle w:val="Heading2"/>
      </w:pPr>
      <w:r>
        <w:t>Journal articles</w:t>
      </w:r>
    </w:p>
    <w:p w:rsidR="00685439" w:rsidRDefault="00685439" w:rsidP="00685439">
      <w:proofErr w:type="spellStart"/>
      <w:r>
        <w:t>Jamwal</w:t>
      </w:r>
      <w:proofErr w:type="spellEnd"/>
      <w:r>
        <w:t>, R., Callaway, L., Farnworth, L. and Winkler, D. (2018). Electronic assistive technology use in Australian shared supported accommodation: rates and user characteristics. Disability and Rehabilitation: Assistive Technology. 13:634-40.</w:t>
      </w:r>
    </w:p>
    <w:p w:rsidR="00685439" w:rsidRDefault="00685439" w:rsidP="00685439">
      <w:proofErr w:type="spellStart"/>
      <w:r>
        <w:t>Jamwal</w:t>
      </w:r>
      <w:proofErr w:type="spellEnd"/>
      <w:r>
        <w:t xml:space="preserve">, R., </w:t>
      </w:r>
      <w:proofErr w:type="spellStart"/>
      <w:r>
        <w:t>Enticott</w:t>
      </w:r>
      <w:proofErr w:type="spellEnd"/>
      <w:r>
        <w:t xml:space="preserve">, J., Farnworth, L., Winkler, D. and Callaway, </w:t>
      </w:r>
      <w:r>
        <w:br/>
        <w:t xml:space="preserve">L. (in press, accepted 8 Oct 2018). The use of electronic assistive technology for social networking by people with disability living </w:t>
      </w:r>
      <w:r>
        <w:br/>
        <w:t>in shared supported accommodation. Disability and Rehabilitation: Assistive Technology.</w:t>
      </w:r>
    </w:p>
    <w:p w:rsidR="00685439" w:rsidRDefault="00685439" w:rsidP="00685439">
      <w:r>
        <w:t xml:space="preserve">McEwen, J. </w:t>
      </w:r>
      <w:proofErr w:type="spellStart"/>
      <w:r>
        <w:t>Bigby</w:t>
      </w:r>
      <w:proofErr w:type="spellEnd"/>
      <w:r>
        <w:t xml:space="preserve">, C., and Douglas, J. (in press, accepted 2 March 2019). Moving on from quality assurance: exploring systems that measure both process and personal outcomes in disability services. </w:t>
      </w:r>
      <w:r>
        <w:br/>
        <w:t>Journal of Policy and Practice in Intellectual Disabilities.</w:t>
      </w:r>
    </w:p>
    <w:p w:rsidR="00685439" w:rsidRDefault="00685439" w:rsidP="00685439">
      <w:proofErr w:type="spellStart"/>
      <w:r>
        <w:t>D’Cruz</w:t>
      </w:r>
      <w:proofErr w:type="spellEnd"/>
      <w:r>
        <w:t xml:space="preserve">, K. Douglas, J. and Serry, T. (in press, accepted 22 February 2019). Narrative storytelling as both an advocacy tool and a therapeutic process: Perspectives of adult storytellers with acquired brain injury. </w:t>
      </w:r>
      <w:proofErr w:type="spellStart"/>
      <w:r>
        <w:t>Neuropsych</w:t>
      </w:r>
      <w:proofErr w:type="spellEnd"/>
      <w:r>
        <w:t xml:space="preserve"> Rehabilitation. </w:t>
      </w:r>
    </w:p>
    <w:p w:rsidR="00685439" w:rsidRDefault="00685439" w:rsidP="00685439">
      <w:r>
        <w:t>Douglas, J. (in press, accepted 21 Jan 2019). Loss of friendship following traumatic brain injury: A model grounded in the experience of adults with severe injury. Neuropsychological Rehabilitation.</w:t>
      </w:r>
    </w:p>
    <w:p w:rsidR="00685439" w:rsidRDefault="00685439" w:rsidP="00685439">
      <w:r>
        <w:t>Douglas, J. (2018). ‘The things that help, the things that get in the way’: Working together to improve outcome following acquired brain injury, presidential address. Brain Impairment. 19:258-269.</w:t>
      </w:r>
    </w:p>
    <w:p w:rsidR="00685439" w:rsidRDefault="00685439" w:rsidP="00685439">
      <w:r>
        <w:lastRenderedPageBreak/>
        <w:t xml:space="preserve">Carney, T., Then, S., </w:t>
      </w:r>
      <w:proofErr w:type="spellStart"/>
      <w:r>
        <w:t>Bigby</w:t>
      </w:r>
      <w:proofErr w:type="spellEnd"/>
      <w:r>
        <w:t>, C., Wiesel, I. and Douglas, J. (2019, accepted 11 Oct 2018). National Disability Insurance Scheme Plan Decision-making: Or when Tailor-made case planning met Taylorism &amp; the algorithms? Melbourne University Law Review, 42(3).</w:t>
      </w:r>
    </w:p>
    <w:p w:rsidR="00685439" w:rsidRDefault="00685439" w:rsidP="00685439">
      <w:r>
        <w:t xml:space="preserve">Then, S., Carney, T., </w:t>
      </w:r>
      <w:proofErr w:type="spellStart"/>
      <w:r>
        <w:t>Bigby</w:t>
      </w:r>
      <w:proofErr w:type="spellEnd"/>
      <w:r>
        <w:t>, C. and Douglas, J. (2018). Supporting decision-making of adults with cognitive disabilities: The role of Law Reform Agencies – Recommendations, rationales and influence. International Journal of Law and Psychiatry, 61:64-75.</w:t>
      </w:r>
    </w:p>
    <w:p w:rsidR="00685439" w:rsidRDefault="00685439" w:rsidP="00685439">
      <w:r>
        <w:t>Barry, S., Knox, L. and Douglas, J. (2019) “Time’s up”: The experience of entering residential aged care for young people with acquired brain injury and their families, submitted. Brain Impairment. 20:24-36.</w:t>
      </w:r>
    </w:p>
    <w:p w:rsidR="00685439" w:rsidRDefault="00685439" w:rsidP="00685439">
      <w:r>
        <w:t xml:space="preserve">Douglas, J. and </w:t>
      </w:r>
      <w:proofErr w:type="spellStart"/>
      <w:r>
        <w:t>Bigby</w:t>
      </w:r>
      <w:proofErr w:type="spellEnd"/>
      <w:r>
        <w:t>, C. (in press, accepted 5 July 2018). Development of an evidence-based practice framework to guide decision making support for people with cognitive impairment due to Acquired Brain Injury or intellectual disability. Disability and Rehabilitation.</w:t>
      </w:r>
    </w:p>
    <w:p w:rsidR="00685439" w:rsidRDefault="00685439" w:rsidP="00685439">
      <w:proofErr w:type="spellStart"/>
      <w:r>
        <w:t>D’Cruz</w:t>
      </w:r>
      <w:proofErr w:type="spellEnd"/>
      <w:r>
        <w:t xml:space="preserve">, K., Douglas, J. and Serry, T. (2019). Personal narrative approaches in rehabilitation following traumatic brain injury: </w:t>
      </w:r>
      <w:r>
        <w:br/>
        <w:t>A synthesis of qualitative research. Neuropsychological Rehabilitation. 29:985-1004.</w:t>
      </w:r>
    </w:p>
    <w:p w:rsidR="00685439" w:rsidRDefault="00685439" w:rsidP="00685439">
      <w:r>
        <w:t xml:space="preserve">Honan, C.A., McDonald, S., Tate, R., </w:t>
      </w:r>
      <w:proofErr w:type="spellStart"/>
      <w:r>
        <w:t>Ownsworth</w:t>
      </w:r>
      <w:proofErr w:type="spellEnd"/>
      <w:r>
        <w:t xml:space="preserve">, T., </w:t>
      </w:r>
      <w:proofErr w:type="spellStart"/>
      <w:r>
        <w:t>Togher</w:t>
      </w:r>
      <w:proofErr w:type="spellEnd"/>
      <w:r>
        <w:t xml:space="preserve">, L., Fleming, J., Anderson, V., </w:t>
      </w:r>
      <w:proofErr w:type="spellStart"/>
      <w:proofErr w:type="gramStart"/>
      <w:r>
        <w:t>Morgan,A</w:t>
      </w:r>
      <w:proofErr w:type="spellEnd"/>
      <w:r>
        <w:t>.</w:t>
      </w:r>
      <w:proofErr w:type="gramEnd"/>
      <w:r>
        <w:t xml:space="preserve">, </w:t>
      </w:r>
      <w:proofErr w:type="spellStart"/>
      <w:r>
        <w:t>Catroppa</w:t>
      </w:r>
      <w:proofErr w:type="spellEnd"/>
      <w:r>
        <w:t xml:space="preserve">, C., Douglas, J., Francis, H., Wearne, T., </w:t>
      </w:r>
      <w:proofErr w:type="spellStart"/>
      <w:r>
        <w:t>Sigmundsdottir</w:t>
      </w:r>
      <w:proofErr w:type="spellEnd"/>
      <w:r>
        <w:t xml:space="preserve">, L. and </w:t>
      </w:r>
      <w:proofErr w:type="spellStart"/>
      <w:r>
        <w:t>Ponsford</w:t>
      </w:r>
      <w:proofErr w:type="spellEnd"/>
      <w:r>
        <w:t>, J. (2019). Outcome instruments in moderate-to-severe adult traumatic brain injury: recommendations for use in psychosocial research. Neuropsychological Rehabilitation. 29:896-916.</w:t>
      </w:r>
    </w:p>
    <w:p w:rsidR="00685439" w:rsidRDefault="00685439" w:rsidP="00685439">
      <w:pPr>
        <w:pStyle w:val="Heading2"/>
      </w:pPr>
      <w:r>
        <w:t>Submissions to government</w:t>
      </w:r>
    </w:p>
    <w:p w:rsidR="00685439" w:rsidRDefault="00685439" w:rsidP="00685439">
      <w:r>
        <w:t>SDA Limited Cost Assumptions Review – our submission focused on changes to the SDA rules so that families can live together in SDA.</w:t>
      </w:r>
    </w:p>
    <w:p w:rsidR="00685439" w:rsidRDefault="00685439" w:rsidP="00685439">
      <w:r>
        <w:t xml:space="preserve">Review of the National Disability Agreement – our submission emphasised the need to include targets and accountability mechanisms for reducing the number of Young People in </w:t>
      </w:r>
      <w:r>
        <w:br/>
        <w:t>Residential Aged Care.</w:t>
      </w:r>
    </w:p>
    <w:p w:rsidR="00685439" w:rsidRDefault="00685439" w:rsidP="00685439">
      <w:r>
        <w:t>Joint Parliamentary Standing Committee on the NDIS Market Readiness Inquiry – our submission focused on market and supply issues facing people with complex disability and support needs.</w:t>
      </w:r>
    </w:p>
    <w:p w:rsidR="00685439" w:rsidRDefault="00685439" w:rsidP="00685439">
      <w:r>
        <w:t>DHHS (Vic) Disability Action Plan.</w:t>
      </w:r>
    </w:p>
    <w:p w:rsidR="00685439" w:rsidRDefault="00685439" w:rsidP="00685439">
      <w:r>
        <w:t>NSW Parliament Inquiry into the NDIS and the provision of disability services in NSW.</w:t>
      </w:r>
    </w:p>
    <w:p w:rsidR="00685439" w:rsidRDefault="00685439" w:rsidP="00685439">
      <w:r>
        <w:t>Australian Building Codes Board Accessible Housing Options Paper.</w:t>
      </w:r>
    </w:p>
    <w:p w:rsidR="00685439" w:rsidRDefault="00685439" w:rsidP="00685439">
      <w:r>
        <w:t>DSS Thin Markets Project.</w:t>
      </w:r>
    </w:p>
    <w:p w:rsidR="00685439" w:rsidRDefault="00685439">
      <w:pPr>
        <w:spacing w:after="0" w:line="240" w:lineRule="auto"/>
        <w:rPr>
          <w:rFonts w:ascii="Helvetica Neue Condensed" w:eastAsia="Helvetica Neue" w:hAnsi="Helvetica Neue Condensed" w:cstheme="majorBidi"/>
          <w:b/>
          <w:color w:val="000000" w:themeColor="text1"/>
          <w:sz w:val="40"/>
          <w:szCs w:val="40"/>
        </w:rPr>
      </w:pPr>
      <w:r>
        <w:br w:type="page"/>
      </w:r>
    </w:p>
    <w:p w:rsidR="00685439" w:rsidRDefault="00685439" w:rsidP="00685439">
      <w:pPr>
        <w:pStyle w:val="Heading2"/>
      </w:pPr>
      <w:r>
        <w:lastRenderedPageBreak/>
        <w:t>Opinion Pieces</w:t>
      </w:r>
    </w:p>
    <w:p w:rsidR="00685439" w:rsidRDefault="00685439" w:rsidP="00685439">
      <w:proofErr w:type="spellStart"/>
      <w:r>
        <w:t>Taleporos</w:t>
      </w:r>
      <w:proofErr w:type="spellEnd"/>
      <w:r>
        <w:t xml:space="preserve">, G. (Sept 2018), Get us out, Every Australian Counts, </w:t>
      </w:r>
      <w:r>
        <w:br/>
        <w:t>News Hub.</w:t>
      </w:r>
    </w:p>
    <w:p w:rsidR="00685439" w:rsidRDefault="00685439" w:rsidP="00685439">
      <w:r>
        <w:t xml:space="preserve">Paul, P. (Oct 2018), The NDIS is a critical support for younger people </w:t>
      </w:r>
      <w:r>
        <w:br/>
        <w:t>in aged care, LinkedIn.</w:t>
      </w:r>
    </w:p>
    <w:p w:rsidR="00685439" w:rsidRDefault="00685439" w:rsidP="00685439">
      <w:r>
        <w:t xml:space="preserve">Douglas, J. (Oct 2018), Time’s up: issues faced by young people </w:t>
      </w:r>
      <w:r>
        <w:br/>
        <w:t xml:space="preserve">in residential aged care, </w:t>
      </w:r>
      <w:proofErr w:type="spellStart"/>
      <w:r>
        <w:t>ProBono</w:t>
      </w:r>
      <w:proofErr w:type="spellEnd"/>
      <w:r>
        <w:t xml:space="preserve"> Australia.</w:t>
      </w:r>
    </w:p>
    <w:p w:rsidR="00685439" w:rsidRDefault="00685439" w:rsidP="00685439">
      <w:proofErr w:type="spellStart"/>
      <w:r>
        <w:t>Finis</w:t>
      </w:r>
      <w:proofErr w:type="spellEnd"/>
      <w:r>
        <w:t>, C. (November 2018), Learning from lived experience, LinkedIn.</w:t>
      </w:r>
    </w:p>
    <w:p w:rsidR="00685439" w:rsidRDefault="00685439" w:rsidP="00685439">
      <w:r>
        <w:t>Paul, P. (November, 2018), Upskilling NDIS support coordinators, LinkedIn.</w:t>
      </w:r>
    </w:p>
    <w:p w:rsidR="00685439" w:rsidRDefault="00685439" w:rsidP="00685439">
      <w:proofErr w:type="spellStart"/>
      <w:r>
        <w:t>Finis</w:t>
      </w:r>
      <w:proofErr w:type="spellEnd"/>
      <w:r>
        <w:t xml:space="preserve">, C. (January 2019), Every story </w:t>
      </w:r>
      <w:proofErr w:type="gramStart"/>
      <w:r>
        <w:t>matters</w:t>
      </w:r>
      <w:proofErr w:type="gramEnd"/>
      <w:r>
        <w:t>, LinkedIn.</w:t>
      </w:r>
    </w:p>
    <w:p w:rsidR="00685439" w:rsidRDefault="00685439" w:rsidP="00685439">
      <w:proofErr w:type="spellStart"/>
      <w:r>
        <w:t>Taleporos</w:t>
      </w:r>
      <w:proofErr w:type="spellEnd"/>
      <w:r>
        <w:t>, G. (March 2019), Are we getting action – or just more talk? Every Australian Counts, Opinion.</w:t>
      </w:r>
    </w:p>
    <w:p w:rsidR="00685439" w:rsidRDefault="00685439" w:rsidP="00685439">
      <w:proofErr w:type="spellStart"/>
      <w:r>
        <w:t>Bo’sher</w:t>
      </w:r>
      <w:proofErr w:type="spellEnd"/>
      <w:r>
        <w:t>, L. (June 2019). Being a true believer, DSC podcast.</w:t>
      </w:r>
    </w:p>
    <w:p w:rsidR="00685439" w:rsidRDefault="00685439" w:rsidP="00685439">
      <w:pPr>
        <w:pStyle w:val="Heading2"/>
      </w:pPr>
      <w:r>
        <w:t>Conferences and presentations</w:t>
      </w:r>
    </w:p>
    <w:p w:rsidR="00685439" w:rsidRDefault="00685439" w:rsidP="00685439">
      <w:r>
        <w:t>Douglas, J. (July 2018). Understanding friendship following TBI: A mixed method study. International Neuropsychological Society, Mid-year Meeting, Prague.</w:t>
      </w:r>
    </w:p>
    <w:p w:rsidR="00685439" w:rsidRDefault="00685439" w:rsidP="00685439">
      <w:proofErr w:type="spellStart"/>
      <w:r>
        <w:t>Bo’sher</w:t>
      </w:r>
      <w:proofErr w:type="spellEnd"/>
      <w:r>
        <w:t>, L. (July 2018). Parliamentary inquiry into NDIS readiness.</w:t>
      </w:r>
    </w:p>
    <w:p w:rsidR="00685439" w:rsidRDefault="00685439" w:rsidP="00685439">
      <w:proofErr w:type="spellStart"/>
      <w:r>
        <w:t>Finis</w:t>
      </w:r>
      <w:proofErr w:type="spellEnd"/>
      <w:r>
        <w:t>, C. July (2018). Sigma Gala Dinner and Awards Night, Melbourne.</w:t>
      </w:r>
    </w:p>
    <w:p w:rsidR="00685439" w:rsidRDefault="00685439" w:rsidP="00685439">
      <w:proofErr w:type="spellStart"/>
      <w:r>
        <w:t>Bo’sher</w:t>
      </w:r>
      <w:proofErr w:type="spellEnd"/>
      <w:r>
        <w:t xml:space="preserve">, L. (August 2018). </w:t>
      </w:r>
      <w:proofErr w:type="spellStart"/>
      <w:r>
        <w:t>PowerHousing</w:t>
      </w:r>
      <w:proofErr w:type="spellEnd"/>
      <w:r>
        <w:t xml:space="preserve"> Disability Community </w:t>
      </w:r>
      <w:r>
        <w:br/>
        <w:t>of Practice, Canberra.</w:t>
      </w:r>
    </w:p>
    <w:p w:rsidR="00685439" w:rsidRDefault="00685439" w:rsidP="00685439">
      <w:proofErr w:type="spellStart"/>
      <w:r>
        <w:t>Bo’sher</w:t>
      </w:r>
      <w:proofErr w:type="spellEnd"/>
      <w:r>
        <w:t xml:space="preserve">, L. (Sept 2018). The support coordinator’s role in investigating housing, </w:t>
      </w:r>
      <w:proofErr w:type="spellStart"/>
      <w:r>
        <w:t>CareChoice</w:t>
      </w:r>
      <w:proofErr w:type="spellEnd"/>
      <w:r>
        <w:t xml:space="preserve"> NDIS seminar webinar. </w:t>
      </w:r>
    </w:p>
    <w:p w:rsidR="00685439" w:rsidRDefault="00685439" w:rsidP="00685439">
      <w:proofErr w:type="spellStart"/>
      <w:r>
        <w:t>Bo’sher</w:t>
      </w:r>
      <w:proofErr w:type="spellEnd"/>
      <w:r>
        <w:t>, L. (Sept 2018). Housing, participant choice and ‘reasonable and necessary’ support, Outside the Box Conference, Sydney.</w:t>
      </w:r>
    </w:p>
    <w:p w:rsidR="00685439" w:rsidRDefault="00685439" w:rsidP="00685439">
      <w:proofErr w:type="spellStart"/>
      <w:r>
        <w:t>Bucolo</w:t>
      </w:r>
      <w:proofErr w:type="spellEnd"/>
      <w:r>
        <w:t xml:space="preserve">, C. (Sept 2018). Innovative Workforce Fund projects – </w:t>
      </w:r>
      <w:r>
        <w:br/>
        <w:t>PLV, Outside the Box Conference, Sydney.</w:t>
      </w:r>
    </w:p>
    <w:p w:rsidR="00685439" w:rsidRDefault="00685439" w:rsidP="00685439">
      <w:proofErr w:type="spellStart"/>
      <w:r>
        <w:t>Bucolo</w:t>
      </w:r>
      <w:proofErr w:type="spellEnd"/>
      <w:r>
        <w:t xml:space="preserve">, C. &amp; </w:t>
      </w:r>
      <w:proofErr w:type="spellStart"/>
      <w:r>
        <w:t>Finis</w:t>
      </w:r>
      <w:proofErr w:type="spellEnd"/>
      <w:r>
        <w:t xml:space="preserve">, C (Sept 2018). Stall – Participant Led Video, </w:t>
      </w:r>
      <w:r>
        <w:br/>
        <w:t>Outside the Box Conference, Sydney.</w:t>
      </w:r>
    </w:p>
    <w:p w:rsidR="00685439" w:rsidRDefault="00685439" w:rsidP="00685439">
      <w:r>
        <w:t>Lockwood, A. (Sept 2018). Occupational Therapy Universal Design Conference, Brisbane.</w:t>
      </w:r>
    </w:p>
    <w:p w:rsidR="00685439" w:rsidRDefault="00685439" w:rsidP="00685439">
      <w:proofErr w:type="spellStart"/>
      <w:r>
        <w:t>Bo’sher</w:t>
      </w:r>
      <w:proofErr w:type="spellEnd"/>
      <w:r>
        <w:t xml:space="preserve">, L. (Nov 2018). </w:t>
      </w:r>
      <w:proofErr w:type="spellStart"/>
      <w:r>
        <w:t>QShelter</w:t>
      </w:r>
      <w:proofErr w:type="spellEnd"/>
      <w:r>
        <w:t>-Summer Foundation SDA forum.</w:t>
      </w:r>
    </w:p>
    <w:p w:rsidR="00685439" w:rsidRDefault="00685439" w:rsidP="00685439">
      <w:proofErr w:type="spellStart"/>
      <w:r>
        <w:t>Bucolo</w:t>
      </w:r>
      <w:proofErr w:type="spellEnd"/>
      <w:r>
        <w:t xml:space="preserve"> C. (Nov 2018). Participant Led Videos, Workforce Impact Collective: Gathering Collective Momentum: people, ideas and resources, Canberra.</w:t>
      </w:r>
    </w:p>
    <w:p w:rsidR="00685439" w:rsidRDefault="00685439" w:rsidP="00685439">
      <w:proofErr w:type="spellStart"/>
      <w:r>
        <w:t>Bucolo</w:t>
      </w:r>
      <w:proofErr w:type="spellEnd"/>
      <w:r>
        <w:t>, C. (Nov 2018). 6th National Brain Injury Conference, Brisbane.</w:t>
      </w:r>
    </w:p>
    <w:p w:rsidR="00685439" w:rsidRDefault="00685439" w:rsidP="00685439">
      <w:pPr>
        <w:spacing w:after="100" w:line="276" w:lineRule="auto"/>
      </w:pPr>
      <w:proofErr w:type="spellStart"/>
      <w:r>
        <w:lastRenderedPageBreak/>
        <w:t>B’osher</w:t>
      </w:r>
      <w:proofErr w:type="spellEnd"/>
      <w:r>
        <w:t>, L. (Dec 2018). Digital pioneers in social and affordable housing, AHURI Disrupting the housing market conference, Hobart.</w:t>
      </w:r>
    </w:p>
    <w:p w:rsidR="00685439" w:rsidRDefault="00685439" w:rsidP="00685439">
      <w:pPr>
        <w:spacing w:after="100" w:line="276" w:lineRule="auto"/>
      </w:pPr>
      <w:proofErr w:type="spellStart"/>
      <w:r>
        <w:t>Worsnop</w:t>
      </w:r>
      <w:proofErr w:type="spellEnd"/>
      <w:r>
        <w:t>, T. (Dec 2018). Delivering NDIS Specialist Disability Accommodation, Perth.</w:t>
      </w:r>
    </w:p>
    <w:p w:rsidR="00685439" w:rsidRDefault="00685439" w:rsidP="00685439">
      <w:pPr>
        <w:spacing w:after="100" w:line="276" w:lineRule="auto"/>
      </w:pPr>
      <w:proofErr w:type="spellStart"/>
      <w:r>
        <w:t>Bo’sher</w:t>
      </w:r>
      <w:proofErr w:type="spellEnd"/>
      <w:r>
        <w:t xml:space="preserve">, L. (Feb 2019). </w:t>
      </w:r>
      <w:proofErr w:type="spellStart"/>
      <w:r>
        <w:t>UpSkill</w:t>
      </w:r>
      <w:proofErr w:type="spellEnd"/>
      <w:r>
        <w:t xml:space="preserve"> launch, Victoria.</w:t>
      </w:r>
    </w:p>
    <w:p w:rsidR="00685439" w:rsidRDefault="00685439" w:rsidP="00685439">
      <w:pPr>
        <w:spacing w:after="100" w:line="276" w:lineRule="auto"/>
      </w:pPr>
      <w:proofErr w:type="spellStart"/>
      <w:r>
        <w:t>Bo’sher</w:t>
      </w:r>
      <w:proofErr w:type="spellEnd"/>
      <w:r>
        <w:t>, L. (Feb 2019). AHURI discussion series – Is social housing infrastructure?</w:t>
      </w:r>
    </w:p>
    <w:p w:rsidR="00685439" w:rsidRDefault="00685439" w:rsidP="00685439">
      <w:pPr>
        <w:spacing w:after="100" w:line="276" w:lineRule="auto"/>
      </w:pPr>
      <w:r>
        <w:t>Lockwood, A. (Feb 2019). ‘</w:t>
      </w:r>
      <w:proofErr w:type="spellStart"/>
      <w:r>
        <w:t>Pausefest</w:t>
      </w:r>
      <w:proofErr w:type="spellEnd"/>
      <w:r>
        <w:t>’, OT Conference, Melbourne.</w:t>
      </w:r>
    </w:p>
    <w:p w:rsidR="00685439" w:rsidRDefault="00685439" w:rsidP="00685439">
      <w:pPr>
        <w:spacing w:after="100" w:line="276" w:lineRule="auto"/>
      </w:pPr>
      <w:proofErr w:type="spellStart"/>
      <w:r>
        <w:t>Bo’sher</w:t>
      </w:r>
      <w:proofErr w:type="spellEnd"/>
      <w:r>
        <w:t>, L. (March 2019). Get Building SDA National Conference. Melbourne.</w:t>
      </w:r>
    </w:p>
    <w:p w:rsidR="00685439" w:rsidRDefault="00685439" w:rsidP="00685439">
      <w:pPr>
        <w:spacing w:after="100" w:line="276" w:lineRule="auto"/>
      </w:pPr>
      <w:proofErr w:type="spellStart"/>
      <w:r>
        <w:t>Bo’sher</w:t>
      </w:r>
      <w:proofErr w:type="spellEnd"/>
      <w:r>
        <w:t>, L. (March 2019). GBSDA Supply in Australia, report launch, Melbourne.</w:t>
      </w:r>
    </w:p>
    <w:p w:rsidR="00685439" w:rsidRDefault="00685439" w:rsidP="00685439">
      <w:pPr>
        <w:spacing w:after="100" w:line="276" w:lineRule="auto"/>
      </w:pPr>
      <w:proofErr w:type="spellStart"/>
      <w:r>
        <w:t>Bucolo</w:t>
      </w:r>
      <w:proofErr w:type="spellEnd"/>
      <w:r>
        <w:t>, C. (March 2019). DSC SDA Forum, Sydney.</w:t>
      </w:r>
    </w:p>
    <w:p w:rsidR="00685439" w:rsidRDefault="00685439" w:rsidP="00685439">
      <w:pPr>
        <w:spacing w:after="100" w:line="276" w:lineRule="auto"/>
      </w:pPr>
      <w:proofErr w:type="spellStart"/>
      <w:r>
        <w:t>Bucolo</w:t>
      </w:r>
      <w:proofErr w:type="spellEnd"/>
      <w:r>
        <w:t>, C. (March 2019). Panel – Who is the SDA Target Market for?</w:t>
      </w:r>
      <w:r>
        <w:br/>
        <w:t>Summer Foundation Get Building SDA National Conference, Melbourne.</w:t>
      </w:r>
    </w:p>
    <w:p w:rsidR="00685439" w:rsidRDefault="00685439" w:rsidP="00685439">
      <w:pPr>
        <w:spacing w:after="100" w:line="276" w:lineRule="auto"/>
      </w:pPr>
      <w:r>
        <w:t xml:space="preserve">Winkler, D., Douglas, J. and </w:t>
      </w:r>
      <w:proofErr w:type="spellStart"/>
      <w:r>
        <w:t>Jamwal</w:t>
      </w:r>
      <w:proofErr w:type="spellEnd"/>
      <w:r>
        <w:t xml:space="preserve">, R. (March 2019). </w:t>
      </w:r>
      <w:r>
        <w:br/>
        <w:t>Outcomes &amp; impact of new SDA. Get Building SDA National Conference, Melbourne.</w:t>
      </w:r>
    </w:p>
    <w:p w:rsidR="00685439" w:rsidRDefault="00685439" w:rsidP="00685439">
      <w:pPr>
        <w:spacing w:after="100" w:line="276" w:lineRule="auto"/>
      </w:pPr>
      <w:proofErr w:type="spellStart"/>
      <w:r>
        <w:t>Worsnop</w:t>
      </w:r>
      <w:proofErr w:type="spellEnd"/>
      <w:r>
        <w:t>, T. (March 2019). DSC SDA Forum, Brisbane.</w:t>
      </w:r>
    </w:p>
    <w:p w:rsidR="00685439" w:rsidRDefault="00685439" w:rsidP="00685439">
      <w:pPr>
        <w:spacing w:after="100" w:line="276" w:lineRule="auto"/>
      </w:pPr>
      <w:proofErr w:type="spellStart"/>
      <w:r>
        <w:t>Zakharov</w:t>
      </w:r>
      <w:proofErr w:type="spellEnd"/>
      <w:r>
        <w:t xml:space="preserve">, R. and </w:t>
      </w:r>
      <w:proofErr w:type="spellStart"/>
      <w:r>
        <w:t>Worsnop</w:t>
      </w:r>
      <w:proofErr w:type="spellEnd"/>
      <w:r>
        <w:t xml:space="preserve">, T. (March 2019). </w:t>
      </w:r>
      <w:proofErr w:type="spellStart"/>
      <w:r>
        <w:t>PowerHousing</w:t>
      </w:r>
      <w:proofErr w:type="spellEnd"/>
      <w:r>
        <w:t xml:space="preserve"> Australia Operations Group, Melbourne.</w:t>
      </w:r>
    </w:p>
    <w:p w:rsidR="00685439" w:rsidRDefault="00685439" w:rsidP="00685439">
      <w:pPr>
        <w:spacing w:after="100" w:line="276" w:lineRule="auto"/>
      </w:pPr>
      <w:proofErr w:type="spellStart"/>
      <w:r>
        <w:t>Bo’sher</w:t>
      </w:r>
      <w:proofErr w:type="spellEnd"/>
      <w:r>
        <w:t>, L. (April 2019). NDIS Housing and NHRIC Roundtable, Brisbane.</w:t>
      </w:r>
    </w:p>
    <w:p w:rsidR="00685439" w:rsidRDefault="00685439" w:rsidP="00685439">
      <w:pPr>
        <w:spacing w:after="100" w:line="276" w:lineRule="auto"/>
      </w:pPr>
      <w:proofErr w:type="spellStart"/>
      <w:r>
        <w:t>Worsnop</w:t>
      </w:r>
      <w:proofErr w:type="spellEnd"/>
      <w:r>
        <w:t>, T. (April 2019). NDIS Implementation Taskforce (ITF) Participant Needs and Mainstream Interface Working Group, Melbourne.</w:t>
      </w:r>
    </w:p>
    <w:p w:rsidR="00685439" w:rsidRDefault="00685439" w:rsidP="00685439">
      <w:pPr>
        <w:spacing w:after="100" w:line="276" w:lineRule="auto"/>
      </w:pPr>
      <w:proofErr w:type="spellStart"/>
      <w:r>
        <w:t>Bucolo</w:t>
      </w:r>
      <w:proofErr w:type="spellEnd"/>
      <w:r>
        <w:t xml:space="preserve">, C. (May 2019). ‘How To’ Session Participant Led Videos. </w:t>
      </w:r>
      <w:r>
        <w:br/>
        <w:t>ASSBI Conference, Wellington, NZ.</w:t>
      </w:r>
    </w:p>
    <w:p w:rsidR="00685439" w:rsidRDefault="00685439" w:rsidP="00685439">
      <w:pPr>
        <w:spacing w:after="100" w:line="276" w:lineRule="auto"/>
      </w:pPr>
      <w:proofErr w:type="spellStart"/>
      <w:r>
        <w:t>D’Cruz</w:t>
      </w:r>
      <w:proofErr w:type="spellEnd"/>
      <w:r>
        <w:t>, K., Douglas, J. and Serry, T. (May 2019). Humanising healthcare: understanding the potential of narrative storytelling. ASSBI Conference, Wellington, NZ.</w:t>
      </w:r>
    </w:p>
    <w:p w:rsidR="00685439" w:rsidRDefault="00685439" w:rsidP="00685439">
      <w:pPr>
        <w:spacing w:after="100" w:line="276" w:lineRule="auto"/>
      </w:pPr>
      <w:r>
        <w:t xml:space="preserve">Douglas, J., </w:t>
      </w:r>
      <w:proofErr w:type="spellStart"/>
      <w:r>
        <w:t>Bigby</w:t>
      </w:r>
      <w:proofErr w:type="spellEnd"/>
      <w:r>
        <w:t xml:space="preserve">, C. and </w:t>
      </w:r>
      <w:proofErr w:type="spellStart"/>
      <w:r>
        <w:t>Iacono</w:t>
      </w:r>
      <w:proofErr w:type="spellEnd"/>
      <w:r>
        <w:t>, T. (May 2019). Enabling hospitals to be more inclusive and responsive to people with cognitive disabilities. ASSBI Conference, Wellington, NZ.</w:t>
      </w:r>
    </w:p>
    <w:p w:rsidR="00685439" w:rsidRDefault="00685439" w:rsidP="00685439">
      <w:pPr>
        <w:spacing w:after="100" w:line="276" w:lineRule="auto"/>
      </w:pPr>
      <w:r>
        <w:t>Winkler, D. and Douglas, J. (May 2019). Integrated apartments for people with disability: Individual experience and outcomes. ASSBI Conference, Wellington, NZ.</w:t>
      </w:r>
    </w:p>
    <w:p w:rsidR="00685439" w:rsidRDefault="00685439" w:rsidP="00685439">
      <w:pPr>
        <w:spacing w:after="100" w:line="276" w:lineRule="auto"/>
      </w:pPr>
      <w:r>
        <w:t xml:space="preserve">Winkler, D., Douglas, J., </w:t>
      </w:r>
      <w:proofErr w:type="spellStart"/>
      <w:r>
        <w:t>D’Cruz</w:t>
      </w:r>
      <w:proofErr w:type="spellEnd"/>
      <w:r>
        <w:t xml:space="preserve">, K., </w:t>
      </w:r>
      <w:proofErr w:type="spellStart"/>
      <w:r>
        <w:t>Bucolo</w:t>
      </w:r>
      <w:proofErr w:type="spellEnd"/>
      <w:r>
        <w:t xml:space="preserve">, C. and </w:t>
      </w:r>
      <w:proofErr w:type="spellStart"/>
      <w:r>
        <w:t>Finis</w:t>
      </w:r>
      <w:proofErr w:type="spellEnd"/>
      <w:r>
        <w:t>, C. (May 2019). Co-design, pilot and evaluation of Participant Led Videos to train support workers, ASSBI Conference, Wellington, NZ.</w:t>
      </w:r>
    </w:p>
    <w:p w:rsidR="00685439" w:rsidRDefault="00685439" w:rsidP="00685439">
      <w:pPr>
        <w:spacing w:after="100" w:line="276" w:lineRule="auto"/>
      </w:pPr>
      <w:r>
        <w:t xml:space="preserve">Douglas, J., Winkler, D., </w:t>
      </w:r>
      <w:proofErr w:type="spellStart"/>
      <w:r>
        <w:t>D’Cruz</w:t>
      </w:r>
      <w:proofErr w:type="spellEnd"/>
      <w:r>
        <w:t xml:space="preserve">, K., </w:t>
      </w:r>
      <w:proofErr w:type="spellStart"/>
      <w:r>
        <w:t>Bucolo</w:t>
      </w:r>
      <w:proofErr w:type="spellEnd"/>
      <w:r>
        <w:t xml:space="preserve">, C. and </w:t>
      </w:r>
      <w:proofErr w:type="spellStart"/>
      <w:r>
        <w:t>Finis</w:t>
      </w:r>
      <w:proofErr w:type="spellEnd"/>
      <w:r>
        <w:t>, C. (June 2019</w:t>
      </w:r>
      <w:proofErr w:type="gramStart"/>
      <w:r>
        <w:t>).Development</w:t>
      </w:r>
      <w:proofErr w:type="gramEnd"/>
      <w:r>
        <w:t xml:space="preserve"> and evaluation of participant led videos to train support workers of people with severe acquired brain injury. WFNR Neuropsychological Rehabilitation Symposium, Granada, Spain. </w:t>
      </w:r>
    </w:p>
    <w:p w:rsidR="00685439" w:rsidRDefault="00685439" w:rsidP="00685439">
      <w:pPr>
        <w:spacing w:after="100" w:line="276" w:lineRule="auto"/>
      </w:pPr>
      <w:proofErr w:type="spellStart"/>
      <w:r>
        <w:t>Bo’sher</w:t>
      </w:r>
      <w:proofErr w:type="spellEnd"/>
      <w:r>
        <w:t xml:space="preserve">, L. (June 2019). CPA Australia Annual Public Sector Engagement Lunch, </w:t>
      </w:r>
      <w:proofErr w:type="gramStart"/>
      <w:r>
        <w:t>Are</w:t>
      </w:r>
      <w:proofErr w:type="gramEnd"/>
      <w:r>
        <w:t xml:space="preserve"> royal commissions the new normal for developing complex public policy?</w:t>
      </w:r>
    </w:p>
    <w:p w:rsidR="00685439" w:rsidRDefault="00685439" w:rsidP="00685439">
      <w:pPr>
        <w:spacing w:after="100" w:line="276" w:lineRule="auto"/>
      </w:pPr>
      <w:proofErr w:type="spellStart"/>
      <w:r>
        <w:t>Bo’sher</w:t>
      </w:r>
      <w:proofErr w:type="spellEnd"/>
      <w:r>
        <w:t>, L. (June 2019). NDIS and SDA, Australian Catholic Housing Alliance.</w:t>
      </w:r>
    </w:p>
    <w:p w:rsidR="00F31689" w:rsidRPr="00685439" w:rsidRDefault="00685439" w:rsidP="00685439">
      <w:pPr>
        <w:spacing w:after="100" w:line="276" w:lineRule="auto"/>
        <w:rPr>
          <w:w w:val="97"/>
        </w:rPr>
      </w:pPr>
      <w:proofErr w:type="spellStart"/>
      <w:r>
        <w:t>Bo’sher</w:t>
      </w:r>
      <w:proofErr w:type="spellEnd"/>
      <w:r>
        <w:t>, L. (June 2019). NDIS for hospital executives and managers: Streamlining interface issues between health and the NDIS.</w:t>
      </w:r>
    </w:p>
    <w:sectPr w:rsidR="00F31689" w:rsidRPr="00685439" w:rsidSect="00C54781">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0" w:h="16840"/>
      <w:pgMar w:top="1401" w:right="1440" w:bottom="1924" w:left="1440" w:header="624" w:footer="6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89C" w:rsidRDefault="00FA389C" w:rsidP="00270046">
      <w:pPr>
        <w:spacing w:after="0" w:line="240" w:lineRule="auto"/>
      </w:pPr>
      <w:r>
        <w:separator/>
      </w:r>
    </w:p>
  </w:endnote>
  <w:endnote w:type="continuationSeparator" w:id="0">
    <w:p w:rsidR="00FA389C" w:rsidRDefault="00FA389C" w:rsidP="0027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Neue Condensed">
    <w:panose1 w:val="02000806000000020004"/>
    <w:charset w:val="00"/>
    <w:family w:val="auto"/>
    <w:pitch w:val="variable"/>
    <w:sig w:usb0="A00002F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Guardian Sans Light">
    <w:panose1 w:val="020B0604020202020204"/>
    <w:charset w:val="4D"/>
    <w:family w:val="swiss"/>
    <w:notTrueType/>
    <w:pitch w:val="variable"/>
    <w:sig w:usb0="00000007" w:usb1="00000000" w:usb2="00000000" w:usb3="00000000" w:csb0="0000009B" w:csb1="00000000"/>
  </w:font>
  <w:font w:name="Knockout 48 Featherweight">
    <w:panose1 w:val="020B0604020202020204"/>
    <w:charset w:val="00"/>
    <w:family w:val="auto"/>
    <w:notTrueType/>
    <w:pitch w:val="variable"/>
    <w:sig w:usb0="00000003" w:usb1="00000000" w:usb2="00000000" w:usb3="00000000" w:csb0="0000000B" w:csb1="00000000"/>
  </w:font>
  <w:font w:name="Gotham-Medium">
    <w:panose1 w:val="020B0604020202020204"/>
    <w:charset w:val="00"/>
    <w:family w:val="auto"/>
    <w:notTrueType/>
    <w:pitch w:val="variable"/>
    <w:sig w:usb0="00000003" w:usb1="00000000" w:usb2="00000000" w:usb3="00000000" w:csb0="00000001" w:csb1="00000000"/>
  </w:font>
  <w:font w:name="Gotham-Book">
    <w:panose1 w:val="020B0604020202020204"/>
    <w:charset w:val="00"/>
    <w:family w:val="auto"/>
    <w:notTrueType/>
    <w:pitch w:val="variable"/>
    <w:sig w:usb0="00000003" w:usb1="00000000" w:usb2="00000000" w:usb3="00000000" w:csb0="00000001" w:csb1="00000000"/>
  </w:font>
  <w:font w:name="Minion Pro">
    <w:panose1 w:val="020B0604020202020204"/>
    <w:charset w:val="00"/>
    <w:family w:val="roman"/>
    <w:notTrueType/>
    <w:pitch w:val="variable"/>
    <w:sig w:usb0="60000287" w:usb1="00000001" w:usb2="00000000" w:usb3="00000000" w:csb0="0000019F" w:csb1="00000000"/>
  </w:font>
  <w:font w:name="HelveticaNeueLT Std Lt Ital">
    <w:altName w:val="Helvetica Neue Light"/>
    <w:panose1 w:val="020B0604020202020204"/>
    <w:charset w:val="00"/>
    <w:family w:val="auto"/>
    <w:pitch w:val="variable"/>
    <w:sig w:usb0="03000000" w:usb1="00000000" w:usb2="00000000" w:usb3="00000000" w:csb0="00000001" w:csb1="00000000"/>
  </w:font>
  <w:font w:name="HelveticaNeueLT Std Lt">
    <w:altName w:val="Arial"/>
    <w:panose1 w:val="020B0604020202020204"/>
    <w:charset w:val="00"/>
    <w:family w:val="auto"/>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Med">
    <w:altName w:val="Avenir Black"/>
    <w:panose1 w:val="020B0604020202020204"/>
    <w:charset w:val="00"/>
    <w:family w:val="auto"/>
    <w:pitch w:val="variable"/>
    <w:sig w:usb0="03000000" w:usb1="00000000" w:usb2="00000000" w:usb3="00000000" w:csb0="00000001" w:csb1="00000000"/>
  </w:font>
  <w:font w:name="HelveticaNeueLTStd-Lt">
    <w:altName w:val="HelveticaNeueLT Std Lt"/>
    <w:panose1 w:val="020B0604020202020204"/>
    <w:charset w:val="4D"/>
    <w:family w:val="swiss"/>
    <w:notTrueType/>
    <w:pitch w:val="default"/>
    <w:sig w:usb0="00000003" w:usb1="00000000" w:usb2="00000000" w:usb3="00000000" w:csb0="00000001" w:csb1="00000000"/>
  </w:font>
  <w:font w:name="HelveticaNeueLTStd-Md">
    <w:altName w:val="Helvetica Neue"/>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00000003" w:usb1="00000000" w:usb2="00000000" w:usb3="00000000" w:csb0="00000001" w:csb1="00000000"/>
  </w:font>
  <w:font w:name="DIN">
    <w:altName w:val="Helvetica Neue"/>
    <w:panose1 w:val="020B0604020202020204"/>
    <w:charset w:val="4D"/>
    <w:family w:val="swiss"/>
    <w:notTrueType/>
    <w:pitch w:val="default"/>
    <w:sig w:usb0="00000003" w:usb1="00000000" w:usb2="00000000" w:usb3="00000000" w:csb0="00000001" w:csb1="00000000"/>
  </w:font>
  <w:font w:name="MS P??">
    <w:panose1 w:val="020B0604020202020204"/>
    <w:charset w:val="80"/>
    <w:family w:val="auto"/>
    <w:notTrueType/>
    <w:pitch w:val="variable"/>
    <w:sig w:usb0="00000001" w:usb1="08070000" w:usb2="00000010" w:usb3="00000000" w:csb0="00020000" w:csb1="00000000"/>
  </w:font>
  <w:font w:name="Gotham-Bold">
    <w:panose1 w:val="020B0604020202020204"/>
    <w:charset w:val="00"/>
    <w:family w:val="auto"/>
    <w:notTrueType/>
    <w:pitch w:val="variable"/>
    <w:sig w:usb0="00000003" w:usb1="00000000" w:usb2="00000000" w:usb3="00000000" w:csb0="00000001" w:csb1="00000000"/>
  </w:font>
  <w:font w:name="Guardian Sans Medium">
    <w:panose1 w:val="020B0603050503060803"/>
    <w:charset w:val="4D"/>
    <w:family w:val="swiss"/>
    <w:notTrueType/>
    <w:pitch w:val="variable"/>
    <w:sig w:usb0="0000000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2523005"/>
      <w:docPartObj>
        <w:docPartGallery w:val="Page Numbers (Bottom of Page)"/>
        <w:docPartUnique/>
      </w:docPartObj>
    </w:sdtPr>
    <w:sdtEndPr>
      <w:rPr>
        <w:rStyle w:val="PageNumber"/>
      </w:rPr>
    </w:sdtEndPr>
    <w:sdtContent>
      <w:p w:rsidR="00C54781" w:rsidRDefault="00C54781" w:rsidP="001223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54781" w:rsidRDefault="00C54781" w:rsidP="00C547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90588"/>
      <w:docPartObj>
        <w:docPartGallery w:val="Page Numbers (Bottom of Page)"/>
        <w:docPartUnique/>
      </w:docPartObj>
    </w:sdtPr>
    <w:sdtEndPr>
      <w:rPr>
        <w:rStyle w:val="PageNumber"/>
      </w:rPr>
    </w:sdtEndPr>
    <w:sdtContent>
      <w:p w:rsidR="00C54781" w:rsidRDefault="00C54781" w:rsidP="00C54781">
        <w:pPr>
          <w:pStyle w:val="Footer"/>
          <w:framePr w:wrap="none" w:vAnchor="text" w:hAnchor="page" w:x="11119" w:y="70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sdtContent>
  </w:sdt>
  <w:p w:rsidR="00E579CB" w:rsidRDefault="00E579CB" w:rsidP="00C54781">
    <w:pPr>
      <w:pStyle w:val="Footer"/>
      <w:tabs>
        <w:tab w:val="clear" w:pos="4680"/>
        <w:tab w:val="clear" w:pos="9360"/>
        <w:tab w:val="left" w:pos="6889"/>
      </w:tabs>
      <w:ind w:right="360"/>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-300759</wp:posOffset>
              </wp:positionV>
              <wp:extent cx="5777172" cy="0"/>
              <wp:effectExtent l="0" t="0" r="14605" b="12700"/>
              <wp:wrapNone/>
              <wp:docPr id="5" name="Straight Connector 5"/>
              <wp:cNvGraphicFramePr/>
              <a:graphic xmlns:a="http://schemas.openxmlformats.org/drawingml/2006/main">
                <a:graphicData uri="http://schemas.microsoft.com/office/word/2010/wordprocessingShape">
                  <wps:wsp>
                    <wps:cNvCnPr/>
                    <wps:spPr>
                      <a:xfrm>
                        <a:off x="0" y="0"/>
                        <a:ext cx="5777172"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0800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3.7pt" to="454.9pt,-2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" strokecolor="black [3200]" strokeweight=".2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3396788</wp:posOffset>
              </wp:positionH>
              <wp:positionV relativeFrom="paragraph">
                <wp:posOffset>135890</wp:posOffset>
              </wp:positionV>
              <wp:extent cx="2379518" cy="269875"/>
              <wp:effectExtent l="0" t="0" r="8255" b="9525"/>
              <wp:wrapNone/>
              <wp:docPr id="4" name="Text Box 4"/>
              <wp:cNvGraphicFramePr/>
              <a:graphic xmlns:a="http://schemas.openxmlformats.org/drawingml/2006/main">
                <a:graphicData uri="http://schemas.microsoft.com/office/word/2010/wordprocessingShape">
                  <wps:wsp>
                    <wps:cNvSpPr txBox="1"/>
                    <wps:spPr>
                      <a:xfrm>
                        <a:off x="0" y="0"/>
                        <a:ext cx="2379518" cy="269875"/>
                      </a:xfrm>
                      <a:prstGeom prst="rect">
                        <a:avLst/>
                      </a:prstGeom>
                      <a:solidFill>
                        <a:schemeClr val="lt1"/>
                      </a:solidFill>
                      <a:ln w="6350">
                        <a:solidFill>
                          <a:prstClr val="black">
                            <a:alpha val="0"/>
                          </a:prstClr>
                        </a:solidFill>
                      </a:ln>
                    </wps:spPr>
                    <wps:txbx>
                      <w:txbxContent>
                        <w:p w:rsidR="00E579CB" w:rsidRPr="00B633AA" w:rsidRDefault="00FA389C" w:rsidP="00B633AA">
                          <w:pPr>
                            <w:jc w:val="right"/>
                            <w:rPr>
                              <w:color w:val="F49B35"/>
                              <w:sz w:val="20"/>
                              <w:szCs w:val="20"/>
                            </w:rPr>
                          </w:pPr>
                          <w:hyperlink r:id="rId1" w:history="1">
                            <w:r w:rsidR="00E579CB" w:rsidRPr="00B633AA">
                              <w:rPr>
                                <w:rStyle w:val="Hyperlink"/>
                                <w:color w:val="F49B35"/>
                                <w:sz w:val="20"/>
                                <w:szCs w:val="20"/>
                                <w:u w:val="none"/>
                              </w:rPr>
                              <w:t>www.summerfoundation.org.au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45pt;margin-top:10.7pt;width:187.35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" fillcolor="white [3201]" strokeweight=".5pt">
              <v:stroke opacity="0"/>
              <v:textbox>
                <w:txbxContent>
                  <w:p w:rsidR="00E579CB" w:rsidRPr="00B633AA" w:rsidRDefault="00FA389C" w:rsidP="00B633AA">
                    <w:pPr>
                      <w:jc w:val="right"/>
                      <w:rPr>
                        <w:color w:val="F49B35"/>
                        <w:sz w:val="20"/>
                        <w:szCs w:val="20"/>
                      </w:rPr>
                    </w:pPr>
                    <w:hyperlink r:id="rId2" w:history="1">
                      <w:r w:rsidR="00E579CB" w:rsidRPr="00B633AA">
                        <w:rPr>
                          <w:rStyle w:val="Hyperlink"/>
                          <w:color w:val="F49B35"/>
                          <w:sz w:val="20"/>
                          <w:szCs w:val="20"/>
                          <w:u w:val="none"/>
                        </w:rPr>
                        <w:t>www.summerfoundation.org.au</w:t>
                      </w:r>
                    </w:hyperlink>
                  </w:p>
                </w:txbxContent>
              </v:textbox>
            </v:shape>
          </w:pict>
        </mc:Fallback>
      </mc:AlternateContent>
    </w:r>
    <w:r>
      <w:rPr>
        <w:noProof/>
      </w:rPr>
      <w:drawing>
        <wp:inline distT="0" distB="0" distL="0" distR="0">
          <wp:extent cx="1511403" cy="498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Foundation_LOGO_CMYK-v2.jpg"/>
                  <pic:cNvPicPr/>
                </pic:nvPicPr>
                <pic:blipFill>
                  <a:blip r:embed="rId3">
                    <a:extLst>
                      <a:ext uri="{28A0092B-C50C-407E-A947-70E740481C1C}">
                        <a14:useLocalDpi xmlns:a14="http://schemas.microsoft.com/office/drawing/2010/main" val="0"/>
                      </a:ext>
                    </a:extLst>
                  </a:blip>
                  <a:stretch>
                    <a:fillRect/>
                  </a:stretch>
                </pic:blipFill>
                <pic:spPr>
                  <a:xfrm>
                    <a:off x="0" y="0"/>
                    <a:ext cx="1550189" cy="511562"/>
                  </a:xfrm>
                  <a:prstGeom prst="rect">
                    <a:avLst/>
                  </a:prstGeom>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781" w:rsidRDefault="00C54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89C" w:rsidRDefault="00FA389C" w:rsidP="00270046">
      <w:pPr>
        <w:spacing w:after="0" w:line="240" w:lineRule="auto"/>
      </w:pPr>
      <w:r>
        <w:separator/>
      </w:r>
    </w:p>
  </w:footnote>
  <w:footnote w:type="continuationSeparator" w:id="0">
    <w:p w:rsidR="00FA389C" w:rsidRDefault="00FA389C" w:rsidP="00270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781" w:rsidRDefault="00C54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9CB" w:rsidRDefault="00E579CB" w:rsidP="00B21EDE">
    <w:pPr>
      <w:pStyle w:val="Header"/>
      <w:tabs>
        <w:tab w:val="clear" w:pos="4680"/>
        <w:tab w:val="clear" w:pos="9360"/>
        <w:tab w:val="left" w:pos="27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781" w:rsidRDefault="00C54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169D8"/>
    <w:multiLevelType w:val="hybridMultilevel"/>
    <w:tmpl w:val="1638A450"/>
    <w:lvl w:ilvl="0" w:tplc="76CCEE72">
      <w:start w:val="8"/>
      <w:numFmt w:val="bullet"/>
      <w:lvlText w:val="-"/>
      <w:lvlJc w:val="left"/>
      <w:pPr>
        <w:tabs>
          <w:tab w:val="num" w:pos="720"/>
        </w:tabs>
        <w:ind w:left="720" w:hanging="360"/>
      </w:pPr>
      <w:rPr>
        <w:rFonts w:ascii="Arial" w:eastAsia="Times New Roman" w:hAnsi="Arial" w:cs="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D23413"/>
    <w:multiLevelType w:val="hybridMultilevel"/>
    <w:tmpl w:val="6464BF9E"/>
    <w:lvl w:ilvl="0" w:tplc="036807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D23C46"/>
    <w:multiLevelType w:val="hybridMultilevel"/>
    <w:tmpl w:val="958C8364"/>
    <w:lvl w:ilvl="0" w:tplc="0FC43ACC">
      <w:start w:val="1"/>
      <w:numFmt w:val="bullet"/>
      <w:pStyle w:val="Tablebullets"/>
      <w:lvlText w:val=""/>
      <w:lvlJc w:val="left"/>
      <w:pPr>
        <w:ind w:left="717"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57BB4"/>
    <w:multiLevelType w:val="multilevel"/>
    <w:tmpl w:val="3264A598"/>
    <w:lvl w:ilvl="0">
      <w:start w:val="1"/>
      <w:numFmt w:val="decimal"/>
      <w:pStyle w:val="LIst1ai"/>
      <w:lvlText w:val="%1)"/>
      <w:lvlJc w:val="left"/>
      <w:pPr>
        <w:ind w:left="717" w:hanging="360"/>
      </w:pPr>
      <w:rPr>
        <w:rFonts w:hint="default"/>
      </w:rPr>
    </w:lvl>
    <w:lvl w:ilvl="1">
      <w:start w:val="1"/>
      <w:numFmt w:val="lowerLetter"/>
      <w:lvlText w:val="%2)"/>
      <w:lvlJc w:val="left"/>
      <w:pPr>
        <w:ind w:left="1077" w:hanging="360"/>
      </w:pPr>
      <w:rPr>
        <w:rFonts w:hint="default"/>
      </w:rPr>
    </w:lvl>
    <w:lvl w:ilvl="2">
      <w:start w:val="1"/>
      <w:numFmt w:val="lowerRoman"/>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4"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5" w15:restartNumberingAfterBreak="0">
    <w:nsid w:val="674A43F0"/>
    <w:multiLevelType w:val="hybridMultilevel"/>
    <w:tmpl w:val="74DA713E"/>
    <w:lvl w:ilvl="0" w:tplc="EDF20F3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742D4"/>
    <w:multiLevelType w:val="hybridMultilevel"/>
    <w:tmpl w:val="5EF0A032"/>
    <w:lvl w:ilvl="0" w:tplc="F79E2E38">
      <w:start w:val="1"/>
      <w:numFmt w:val="bullet"/>
      <w:pStyle w:val="MediumGrid1-Accent21"/>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231FCC"/>
    <w:multiLevelType w:val="hybridMultilevel"/>
    <w:tmpl w:val="32AC6A0E"/>
    <w:lvl w:ilvl="0" w:tplc="1478817C">
      <w:start w:val="1"/>
      <w:numFmt w:val="lowerLetter"/>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22F47"/>
    <w:multiLevelType w:val="hybridMultilevel"/>
    <w:tmpl w:val="4DEA7F10"/>
    <w:lvl w:ilvl="0" w:tplc="FA761CD8">
      <w:start w:val="1"/>
      <w:numFmt w:val="bullet"/>
      <w:pStyle w:val="Bullets"/>
      <w:lvlText w:val=""/>
      <w:lvlJc w:val="left"/>
      <w:pPr>
        <w:ind w:left="720" w:hanging="360"/>
      </w:pPr>
      <w:rPr>
        <w:rFonts w:ascii="Symbol" w:hAnsi="Symbol" w:hint="default"/>
        <w:color w:val="FF9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4464A"/>
    <w:multiLevelType w:val="multilevel"/>
    <w:tmpl w:val="6C46228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b/>
        <w:i w:val="0"/>
      </w:rPr>
    </w:lvl>
    <w:lvl w:ilvl="3">
      <w:start w:val="1"/>
      <w:numFmt w:val="lowerLetter"/>
      <w:lvlText w:val="(%4)"/>
      <w:lvlJc w:val="left"/>
      <w:pPr>
        <w:tabs>
          <w:tab w:val="num" w:pos="360"/>
        </w:tabs>
        <w:ind w:left="360" w:hanging="360"/>
      </w:pPr>
      <w:rPr>
        <w:rFonts w:hint="default"/>
        <w:b/>
        <w:i w:val="0"/>
      </w:rPr>
    </w:lvl>
    <w:lvl w:ilvl="4">
      <w:start w:val="1"/>
      <w:numFmt w:val="lowerRoman"/>
      <w:lvlText w:val="%5."/>
      <w:lvlJc w:val="right"/>
      <w:pPr>
        <w:tabs>
          <w:tab w:val="num" w:pos="360"/>
        </w:tabs>
        <w:ind w:left="3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7"/>
  </w:num>
  <w:num w:numId="3">
    <w:abstractNumId w:val="3"/>
  </w:num>
  <w:num w:numId="4">
    <w:abstractNumId w:val="8"/>
  </w:num>
  <w:num w:numId="5">
    <w:abstractNumId w:val="2"/>
  </w:num>
  <w:num w:numId="6">
    <w:abstractNumId w:val="6"/>
  </w:num>
  <w:num w:numId="7">
    <w:abstractNumId w:val="4"/>
  </w:num>
  <w:num w:numId="8">
    <w:abstractNumId w:val="9"/>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45"/>
    <w:rsid w:val="0001578B"/>
    <w:rsid w:val="0002557F"/>
    <w:rsid w:val="00045329"/>
    <w:rsid w:val="00157270"/>
    <w:rsid w:val="001B28EE"/>
    <w:rsid w:val="00211438"/>
    <w:rsid w:val="002259B7"/>
    <w:rsid w:val="00270046"/>
    <w:rsid w:val="002D1F2D"/>
    <w:rsid w:val="002E5863"/>
    <w:rsid w:val="003632C0"/>
    <w:rsid w:val="00385FE8"/>
    <w:rsid w:val="003A0CA8"/>
    <w:rsid w:val="00441DF8"/>
    <w:rsid w:val="004603B5"/>
    <w:rsid w:val="004B655D"/>
    <w:rsid w:val="00521A22"/>
    <w:rsid w:val="00544568"/>
    <w:rsid w:val="005551DB"/>
    <w:rsid w:val="00567379"/>
    <w:rsid w:val="005B3489"/>
    <w:rsid w:val="005C2BBB"/>
    <w:rsid w:val="005D0543"/>
    <w:rsid w:val="005F402F"/>
    <w:rsid w:val="0063477E"/>
    <w:rsid w:val="00634990"/>
    <w:rsid w:val="006540DB"/>
    <w:rsid w:val="00671334"/>
    <w:rsid w:val="00673BEC"/>
    <w:rsid w:val="0068160F"/>
    <w:rsid w:val="00685439"/>
    <w:rsid w:val="006B3980"/>
    <w:rsid w:val="006F295E"/>
    <w:rsid w:val="007351F1"/>
    <w:rsid w:val="0079600E"/>
    <w:rsid w:val="007C2CA1"/>
    <w:rsid w:val="007C627F"/>
    <w:rsid w:val="008520B0"/>
    <w:rsid w:val="008550CD"/>
    <w:rsid w:val="0087216D"/>
    <w:rsid w:val="008A3FB8"/>
    <w:rsid w:val="008E4FFC"/>
    <w:rsid w:val="009714B9"/>
    <w:rsid w:val="00973C14"/>
    <w:rsid w:val="009744B8"/>
    <w:rsid w:val="009E164F"/>
    <w:rsid w:val="00A34845"/>
    <w:rsid w:val="00A74D0F"/>
    <w:rsid w:val="00A855E7"/>
    <w:rsid w:val="00AB2A87"/>
    <w:rsid w:val="00AC25F4"/>
    <w:rsid w:val="00AC69BF"/>
    <w:rsid w:val="00AF52B8"/>
    <w:rsid w:val="00B10C4C"/>
    <w:rsid w:val="00B16AF3"/>
    <w:rsid w:val="00B21EDE"/>
    <w:rsid w:val="00B633AA"/>
    <w:rsid w:val="00B663C5"/>
    <w:rsid w:val="00C06E69"/>
    <w:rsid w:val="00C54781"/>
    <w:rsid w:val="00C83262"/>
    <w:rsid w:val="00C977DD"/>
    <w:rsid w:val="00D85BA9"/>
    <w:rsid w:val="00D9148F"/>
    <w:rsid w:val="00DB5FEF"/>
    <w:rsid w:val="00DC017B"/>
    <w:rsid w:val="00DF7CCD"/>
    <w:rsid w:val="00E202F3"/>
    <w:rsid w:val="00E27962"/>
    <w:rsid w:val="00E579CB"/>
    <w:rsid w:val="00E7439C"/>
    <w:rsid w:val="00EB3712"/>
    <w:rsid w:val="00ED4D69"/>
    <w:rsid w:val="00EE72C0"/>
    <w:rsid w:val="00EE7C47"/>
    <w:rsid w:val="00F302D5"/>
    <w:rsid w:val="00F31689"/>
    <w:rsid w:val="00F457E5"/>
    <w:rsid w:val="00F500CC"/>
    <w:rsid w:val="00F67004"/>
    <w:rsid w:val="00F945B2"/>
    <w:rsid w:val="00FA389C"/>
    <w:rsid w:val="00FD7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F6548"/>
  <w15:chartTrackingRefBased/>
  <w15:docId w15:val="{0FFC4F2C-0914-434B-8919-8C5CB4E3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945B2"/>
    <w:pPr>
      <w:spacing w:after="120" w:line="288" w:lineRule="auto"/>
    </w:pPr>
    <w:rPr>
      <w:rFonts w:ascii="Helvetica Neue" w:hAnsi="Helvetica Neue"/>
      <w:sz w:val="21"/>
    </w:rPr>
  </w:style>
  <w:style w:type="paragraph" w:styleId="Heading1">
    <w:name w:val="heading 1"/>
    <w:basedOn w:val="Normal"/>
    <w:next w:val="Normal"/>
    <w:link w:val="Heading1Char"/>
    <w:qFormat/>
    <w:rsid w:val="00EE7C47"/>
    <w:pPr>
      <w:keepNext/>
      <w:keepLines/>
      <w:spacing w:before="240" w:line="264" w:lineRule="auto"/>
      <w:outlineLvl w:val="0"/>
    </w:pPr>
    <w:rPr>
      <w:rFonts w:ascii="Helvetica Neue Condensed" w:eastAsiaTheme="majorEastAsia" w:hAnsi="Helvetica Neue Condensed" w:cstheme="majorBidi"/>
      <w:b/>
      <w:color w:val="F49B35"/>
      <w:sz w:val="60"/>
      <w:szCs w:val="60"/>
    </w:rPr>
  </w:style>
  <w:style w:type="paragraph" w:styleId="Heading2">
    <w:name w:val="heading 2"/>
    <w:next w:val="Normal"/>
    <w:link w:val="Heading2Char"/>
    <w:unhideWhenUsed/>
    <w:qFormat/>
    <w:rsid w:val="00EE7C47"/>
    <w:pPr>
      <w:keepNext/>
      <w:keepLines/>
      <w:spacing w:before="240" w:after="120" w:line="312" w:lineRule="auto"/>
      <w:outlineLvl w:val="1"/>
    </w:pPr>
    <w:rPr>
      <w:rFonts w:ascii="Helvetica Neue Condensed" w:eastAsia="Helvetica Neue" w:hAnsi="Helvetica Neue Condensed" w:cstheme="majorBidi"/>
      <w:b/>
      <w:color w:val="000000" w:themeColor="text1"/>
      <w:sz w:val="40"/>
      <w:szCs w:val="40"/>
    </w:rPr>
  </w:style>
  <w:style w:type="paragraph" w:styleId="Heading3">
    <w:name w:val="heading 3"/>
    <w:basedOn w:val="Normal"/>
    <w:next w:val="Normal"/>
    <w:link w:val="Heading3Char"/>
    <w:autoRedefine/>
    <w:uiPriority w:val="99"/>
    <w:unhideWhenUsed/>
    <w:qFormat/>
    <w:rsid w:val="00211438"/>
    <w:pPr>
      <w:keepNext/>
      <w:keepLines/>
      <w:spacing w:before="180" w:after="60"/>
      <w:outlineLvl w:val="2"/>
    </w:pPr>
    <w:rPr>
      <w:rFonts w:eastAsia="Helvetica Neue" w:cstheme="majorBidi"/>
      <w:b/>
      <w:color w:val="000000" w:themeColor="text1"/>
      <w:sz w:val="28"/>
    </w:rPr>
  </w:style>
  <w:style w:type="paragraph" w:styleId="Heading4">
    <w:name w:val="heading 4"/>
    <w:aliases w:val="Heading 4 Underline"/>
    <w:basedOn w:val="Heading3"/>
    <w:next w:val="Normal"/>
    <w:link w:val="Heading4Char"/>
    <w:unhideWhenUsed/>
    <w:qFormat/>
    <w:rsid w:val="008A3FB8"/>
    <w:pPr>
      <w:spacing w:line="264" w:lineRule="auto"/>
      <w:outlineLvl w:val="3"/>
    </w:pPr>
    <w:rPr>
      <w:sz w:val="24"/>
    </w:rPr>
  </w:style>
  <w:style w:type="paragraph" w:styleId="Heading5">
    <w:name w:val="heading 5"/>
    <w:aliases w:val="Heading 5 HYPERLINK"/>
    <w:basedOn w:val="Heading4"/>
    <w:next w:val="Normal"/>
    <w:link w:val="Heading5Char"/>
    <w:uiPriority w:val="9"/>
    <w:unhideWhenUsed/>
    <w:qFormat/>
    <w:rsid w:val="00973C14"/>
    <w:pPr>
      <w:outlineLvl w:val="4"/>
    </w:pPr>
    <w:rPr>
      <w:color w:val="808080" w:themeColor="background1" w:themeShade="80"/>
      <w:sz w:val="22"/>
    </w:rPr>
  </w:style>
  <w:style w:type="paragraph" w:styleId="Heading6">
    <w:name w:val="heading 6"/>
    <w:basedOn w:val="Normal"/>
    <w:next w:val="Normal"/>
    <w:link w:val="Heading6Char"/>
    <w:uiPriority w:val="9"/>
    <w:unhideWhenUsed/>
    <w:qFormat/>
    <w:rsid w:val="00B16AF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C47"/>
    <w:rPr>
      <w:rFonts w:ascii="Helvetica Neue Condensed" w:eastAsiaTheme="majorEastAsia" w:hAnsi="Helvetica Neue Condensed" w:cstheme="majorBidi"/>
      <w:b/>
      <w:color w:val="F49B35"/>
      <w:sz w:val="60"/>
      <w:szCs w:val="60"/>
    </w:rPr>
  </w:style>
  <w:style w:type="character" w:customStyle="1" w:styleId="Heading2Char">
    <w:name w:val="Heading 2 Char"/>
    <w:basedOn w:val="DefaultParagraphFont"/>
    <w:link w:val="Heading2"/>
    <w:rsid w:val="00EE7C47"/>
    <w:rPr>
      <w:rFonts w:ascii="Helvetica Neue Condensed" w:eastAsia="Helvetica Neue" w:hAnsi="Helvetica Neue Condensed" w:cstheme="majorBidi"/>
      <w:b/>
      <w:color w:val="000000" w:themeColor="text1"/>
      <w:sz w:val="40"/>
      <w:szCs w:val="40"/>
    </w:rPr>
  </w:style>
  <w:style w:type="character" w:customStyle="1" w:styleId="Heading3Char">
    <w:name w:val="Heading 3 Char"/>
    <w:basedOn w:val="DefaultParagraphFont"/>
    <w:link w:val="Heading3"/>
    <w:uiPriority w:val="99"/>
    <w:rsid w:val="00211438"/>
    <w:rPr>
      <w:rFonts w:ascii="Helvetica Neue" w:eastAsia="Helvetica Neue" w:hAnsi="Helvetica Neue" w:cstheme="majorBidi"/>
      <w:b/>
      <w:color w:val="000000" w:themeColor="text1"/>
      <w:sz w:val="28"/>
    </w:rPr>
  </w:style>
  <w:style w:type="character" w:customStyle="1" w:styleId="Heading4Char">
    <w:name w:val="Heading 4 Char"/>
    <w:aliases w:val="Heading 4 Underline Char"/>
    <w:basedOn w:val="DefaultParagraphFont"/>
    <w:link w:val="Heading4"/>
    <w:rsid w:val="008A3FB8"/>
    <w:rPr>
      <w:rFonts w:ascii="Helvetica Neue" w:eastAsia="Helvetica Neue" w:hAnsi="Helvetica Neue" w:cstheme="majorBidi"/>
      <w:b/>
      <w:color w:val="000000" w:themeColor="text1"/>
    </w:rPr>
  </w:style>
  <w:style w:type="character" w:customStyle="1" w:styleId="Heading5Char">
    <w:name w:val="Heading 5 Char"/>
    <w:aliases w:val="Heading 5 HYPERLINK Char"/>
    <w:basedOn w:val="DefaultParagraphFont"/>
    <w:link w:val="Heading5"/>
    <w:uiPriority w:val="9"/>
    <w:rsid w:val="00973C14"/>
    <w:rPr>
      <w:rFonts w:ascii="Helvetica Neue" w:eastAsiaTheme="majorEastAsia" w:hAnsi="Helvetica Neue" w:cstheme="majorBidi"/>
      <w:b/>
      <w:color w:val="808080" w:themeColor="background1" w:themeShade="80"/>
      <w:sz w:val="22"/>
      <w:u w:val="single"/>
    </w:rPr>
  </w:style>
  <w:style w:type="character" w:customStyle="1" w:styleId="Heading6Char">
    <w:name w:val="Heading 6 Char"/>
    <w:basedOn w:val="DefaultParagraphFont"/>
    <w:link w:val="Heading6"/>
    <w:uiPriority w:val="9"/>
    <w:semiHidden/>
    <w:rsid w:val="00B16AF3"/>
    <w:rPr>
      <w:rFonts w:asciiTheme="majorHAnsi" w:eastAsiaTheme="majorEastAsia" w:hAnsiTheme="majorHAnsi" w:cstheme="majorBidi"/>
      <w:color w:val="1F3763" w:themeColor="accent1" w:themeShade="7F"/>
      <w:sz w:val="22"/>
    </w:rPr>
  </w:style>
  <w:style w:type="paragraph" w:styleId="Title">
    <w:name w:val="Title"/>
    <w:aliases w:val="SF Title"/>
    <w:basedOn w:val="Normal"/>
    <w:next w:val="Normal"/>
    <w:link w:val="TitleChar"/>
    <w:qFormat/>
    <w:rsid w:val="00B10C4C"/>
    <w:pPr>
      <w:spacing w:before="120" w:after="480" w:line="336" w:lineRule="auto"/>
    </w:pPr>
    <w:rPr>
      <w:rFonts w:ascii="Helvetica Neue Condensed" w:eastAsiaTheme="majorEastAsia" w:hAnsi="Helvetica Neue Condensed" w:cstheme="majorBidi"/>
      <w:b/>
      <w:color w:val="F49B35"/>
      <w:spacing w:val="-10"/>
      <w:kern w:val="28"/>
      <w:sz w:val="80"/>
      <w:szCs w:val="56"/>
    </w:rPr>
  </w:style>
  <w:style w:type="character" w:customStyle="1" w:styleId="TitleChar">
    <w:name w:val="Title Char"/>
    <w:aliases w:val="SF Title Char"/>
    <w:basedOn w:val="DefaultParagraphFont"/>
    <w:link w:val="Title"/>
    <w:rsid w:val="00B10C4C"/>
    <w:rPr>
      <w:rFonts w:ascii="Helvetica Neue Condensed" w:eastAsiaTheme="majorEastAsia" w:hAnsi="Helvetica Neue Condensed" w:cstheme="majorBidi"/>
      <w:b/>
      <w:color w:val="F49B35"/>
      <w:spacing w:val="-10"/>
      <w:kern w:val="28"/>
      <w:sz w:val="80"/>
      <w:szCs w:val="56"/>
    </w:rPr>
  </w:style>
  <w:style w:type="character" w:styleId="Strong">
    <w:name w:val="Strong"/>
    <w:aliases w:val="Body bold"/>
    <w:basedOn w:val="DefaultParagraphFont"/>
    <w:qFormat/>
    <w:rsid w:val="00B10C4C"/>
    <w:rPr>
      <w:rFonts w:ascii="Helvetica Neue" w:hAnsi="Helvetica Neue"/>
      <w:b/>
      <w:bCs/>
      <w:i w:val="0"/>
      <w:sz w:val="22"/>
    </w:rPr>
  </w:style>
  <w:style w:type="paragraph" w:styleId="ListParagraph">
    <w:name w:val="List Paragraph"/>
    <w:basedOn w:val="Normal"/>
    <w:qFormat/>
    <w:rsid w:val="0002557F"/>
    <w:pPr>
      <w:ind w:left="720"/>
      <w:contextualSpacing/>
    </w:pPr>
  </w:style>
  <w:style w:type="paragraph" w:customStyle="1" w:styleId="Bullets">
    <w:name w:val="Bullets"/>
    <w:basedOn w:val="ListParagraph"/>
    <w:autoRedefine/>
    <w:qFormat/>
    <w:rsid w:val="009714B9"/>
    <w:pPr>
      <w:numPr>
        <w:numId w:val="4"/>
      </w:numPr>
      <w:spacing w:line="228" w:lineRule="auto"/>
      <w:contextualSpacing w:val="0"/>
    </w:pPr>
  </w:style>
  <w:style w:type="paragraph" w:customStyle="1" w:styleId="Numberedlist">
    <w:name w:val="Numbered list"/>
    <w:basedOn w:val="ListParagraph"/>
    <w:rsid w:val="0002557F"/>
    <w:pPr>
      <w:numPr>
        <w:numId w:val="1"/>
      </w:numPr>
      <w:spacing w:after="180"/>
      <w:ind w:left="714" w:hanging="357"/>
    </w:pPr>
  </w:style>
  <w:style w:type="paragraph" w:styleId="Header">
    <w:name w:val="header"/>
    <w:basedOn w:val="Normal"/>
    <w:link w:val="HeaderChar"/>
    <w:unhideWhenUsed/>
    <w:rsid w:val="00270046"/>
    <w:pPr>
      <w:tabs>
        <w:tab w:val="center" w:pos="4680"/>
        <w:tab w:val="right" w:pos="9360"/>
      </w:tabs>
      <w:spacing w:after="0" w:line="240" w:lineRule="auto"/>
    </w:pPr>
  </w:style>
  <w:style w:type="character" w:customStyle="1" w:styleId="HeaderChar">
    <w:name w:val="Header Char"/>
    <w:basedOn w:val="DefaultParagraphFont"/>
    <w:link w:val="Header"/>
    <w:rsid w:val="00270046"/>
    <w:rPr>
      <w:rFonts w:ascii="Helvetica Neue" w:hAnsi="Helvetica Neue"/>
      <w:sz w:val="22"/>
    </w:rPr>
  </w:style>
  <w:style w:type="paragraph" w:styleId="Footer">
    <w:name w:val="footer"/>
    <w:aliases w:val="Footer SF"/>
    <w:basedOn w:val="Normal"/>
    <w:link w:val="FooterChar"/>
    <w:unhideWhenUsed/>
    <w:rsid w:val="00270046"/>
    <w:pPr>
      <w:tabs>
        <w:tab w:val="center" w:pos="4680"/>
        <w:tab w:val="right" w:pos="9360"/>
      </w:tabs>
      <w:spacing w:after="0" w:line="240" w:lineRule="auto"/>
    </w:pPr>
  </w:style>
  <w:style w:type="character" w:customStyle="1" w:styleId="FooterChar">
    <w:name w:val="Footer Char"/>
    <w:aliases w:val="Footer SF Char"/>
    <w:basedOn w:val="DefaultParagraphFont"/>
    <w:link w:val="Footer"/>
    <w:rsid w:val="00270046"/>
    <w:rPr>
      <w:rFonts w:ascii="Helvetica Neue" w:hAnsi="Helvetica Neue"/>
      <w:sz w:val="22"/>
    </w:rPr>
  </w:style>
  <w:style w:type="paragraph" w:customStyle="1" w:styleId="a">
    <w:name w:val="a"/>
    <w:aliases w:val="b,c list"/>
    <w:basedOn w:val="Numberedlist"/>
    <w:next w:val="Numberedlist"/>
    <w:autoRedefine/>
    <w:qFormat/>
    <w:rsid w:val="002259B7"/>
    <w:pPr>
      <w:numPr>
        <w:numId w:val="2"/>
      </w:numPr>
      <w:spacing w:line="276" w:lineRule="auto"/>
      <w:ind w:left="714" w:hanging="357"/>
      <w:contextualSpacing w:val="0"/>
    </w:pPr>
  </w:style>
  <w:style w:type="character" w:styleId="PageNumber">
    <w:name w:val="page number"/>
    <w:basedOn w:val="DefaultParagraphFont"/>
    <w:unhideWhenUsed/>
    <w:rsid w:val="005551DB"/>
    <w:rPr>
      <w:rFonts w:ascii="Helvetica Neue" w:hAnsi="Helvetica Neue"/>
      <w:sz w:val="22"/>
    </w:rPr>
  </w:style>
  <w:style w:type="paragraph" w:styleId="TableofFigures">
    <w:name w:val="table of figures"/>
    <w:aliases w:val="TABLE BODY"/>
    <w:basedOn w:val="Normal"/>
    <w:next w:val="Normal"/>
    <w:autoRedefine/>
    <w:uiPriority w:val="99"/>
    <w:unhideWhenUsed/>
    <w:qFormat/>
    <w:rsid w:val="00EB3712"/>
    <w:rPr>
      <w:rFonts w:eastAsia="ArialMT" w:cs="ArialMT"/>
      <w:sz w:val="20"/>
      <w:lang w:eastAsia="en-AU"/>
    </w:rPr>
  </w:style>
  <w:style w:type="table" w:styleId="PlainTable2">
    <w:name w:val="Plain Table 2"/>
    <w:aliases w:val="Simple Table"/>
    <w:basedOn w:val="TableNormal"/>
    <w:uiPriority w:val="42"/>
    <w:rsid w:val="00157270"/>
    <w:pPr>
      <w:spacing w:before="60" w:line="288" w:lineRule="auto"/>
    </w:pPr>
    <w:rPr>
      <w:rFonts w:ascii="Helvetica Neue" w:eastAsia="ArialMT" w:hAnsi="Helvetica Neue" w:cs="ArialMT"/>
      <w:color w:val="000000" w:themeColor="text1"/>
      <w:sz w:val="20"/>
      <w:lang w:eastAsia="en-AU"/>
    </w:rPr>
    <w:tblPr>
      <w:tblStyleRowBandSize w:val="1"/>
      <w:tblStyleColBandSize w:val="1"/>
      <w:tblBorders>
        <w:insideH w:val="single" w:sz="4" w:space="0" w:color="auto"/>
      </w:tblBorders>
      <w:tblCellMar>
        <w:top w:w="57" w:type="dxa"/>
        <w:left w:w="57" w:type="dxa"/>
        <w:bottom w:w="57" w:type="dxa"/>
        <w:right w:w="57" w:type="dxa"/>
      </w:tblCellMar>
    </w:tblPr>
    <w:tblStylePr w:type="firstRow">
      <w:rPr>
        <w:rFonts w:ascii="Helvetica Neue" w:hAnsi="Helvetica Neue"/>
        <w:b/>
        <w:bCs/>
        <w:color w:val="000000" w:themeColor="text1"/>
        <w:sz w:val="20"/>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rFonts w:ascii="Helvetica Neue" w:hAnsi="Helvetica Neue"/>
        <w:b w:val="0"/>
        <w:bCs/>
        <w:sz w:val="20"/>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DF7C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F670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70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1ai">
    <w:name w:val="LIst 1. a) i."/>
    <w:basedOn w:val="Numberedlist"/>
    <w:qFormat/>
    <w:rsid w:val="001B28EE"/>
    <w:pPr>
      <w:numPr>
        <w:numId w:val="3"/>
      </w:numPr>
    </w:pPr>
  </w:style>
  <w:style w:type="paragraph" w:customStyle="1" w:styleId="OrangeBoxtext">
    <w:name w:val="Orange Box text"/>
    <w:basedOn w:val="Normal"/>
    <w:qFormat/>
    <w:rsid w:val="006540DB"/>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49B35"/>
    </w:pPr>
    <w:rPr>
      <w:rFonts w:eastAsia="ArialMT" w:cs="ArialMT"/>
      <w:color w:val="FFFFFF" w:themeColor="background1"/>
      <w:sz w:val="24"/>
      <w:lang w:eastAsia="en-AU"/>
    </w:rPr>
  </w:style>
  <w:style w:type="character" w:styleId="Emphasis">
    <w:name w:val="Emphasis"/>
    <w:aliases w:val="Italic Indent"/>
    <w:basedOn w:val="DefaultParagraphFont"/>
    <w:qFormat/>
    <w:rsid w:val="00DC017B"/>
    <w:rPr>
      <w:rFonts w:ascii="Helvetica Neue" w:hAnsi="Helvetica Neue"/>
      <w:i/>
      <w:iCs/>
      <w:sz w:val="22"/>
    </w:rPr>
  </w:style>
  <w:style w:type="table" w:customStyle="1" w:styleId="TableGrid1">
    <w:name w:val="Table Grid1"/>
    <w:basedOn w:val="TableNormal"/>
    <w:next w:val="TableNormal"/>
    <w:uiPriority w:val="39"/>
    <w:rsid w:val="006349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Normal"/>
    <w:link w:val="HeadertitleChar"/>
    <w:autoRedefine/>
    <w:qFormat/>
    <w:rsid w:val="0079600E"/>
    <w:pPr>
      <w:widowControl w:val="0"/>
      <w:shd w:val="clear" w:color="auto" w:fill="F49B35"/>
      <w:autoSpaceDE w:val="0"/>
      <w:autoSpaceDN w:val="0"/>
      <w:adjustRightInd w:val="0"/>
      <w:spacing w:before="240" w:after="240" w:line="264" w:lineRule="auto"/>
      <w:textAlignment w:val="center"/>
      <w:outlineLvl w:val="0"/>
    </w:pPr>
    <w:rPr>
      <w:rFonts w:ascii="Arial" w:eastAsia="MS Mincho" w:hAnsi="Arial" w:cs="Times New Roman"/>
      <w:b/>
      <w:color w:val="FFFFFF" w:themeColor="background1"/>
      <w:sz w:val="44"/>
      <w:szCs w:val="44"/>
      <w:lang w:eastAsia="ja-JP"/>
    </w:rPr>
  </w:style>
  <w:style w:type="character" w:customStyle="1" w:styleId="HeadertitleChar">
    <w:name w:val="Header title Char"/>
    <w:basedOn w:val="DefaultParagraphFont"/>
    <w:link w:val="Headertitle"/>
    <w:rsid w:val="0079600E"/>
    <w:rPr>
      <w:rFonts w:ascii="Arial" w:eastAsia="MS Mincho" w:hAnsi="Arial" w:cs="Times New Roman"/>
      <w:b/>
      <w:color w:val="FFFFFF" w:themeColor="background1"/>
      <w:sz w:val="44"/>
      <w:szCs w:val="44"/>
      <w:shd w:val="clear" w:color="auto" w:fill="F49B35"/>
      <w:lang w:eastAsia="ja-JP"/>
    </w:rPr>
  </w:style>
  <w:style w:type="paragraph" w:customStyle="1" w:styleId="TitleBox">
    <w:name w:val="Title Box"/>
    <w:basedOn w:val="Normal"/>
    <w:autoRedefine/>
    <w:qFormat/>
    <w:rsid w:val="00EB3712"/>
    <w:pPr>
      <w:pBdr>
        <w:top w:val="single" w:sz="4" w:space="10" w:color="F49B35"/>
        <w:left w:val="single" w:sz="4" w:space="10" w:color="F49B35"/>
        <w:bottom w:val="single" w:sz="4" w:space="10" w:color="F49B35"/>
        <w:right w:val="single" w:sz="4" w:space="10" w:color="F49B35"/>
      </w:pBdr>
      <w:shd w:val="clear" w:color="auto" w:fill="F49B35"/>
      <w:spacing w:after="240" w:line="240" w:lineRule="auto"/>
    </w:pPr>
    <w:rPr>
      <w:rFonts w:ascii="Helvetica Neue Condensed" w:hAnsi="Helvetica Neue Condensed"/>
      <w:b/>
      <w:color w:val="FFFFFF" w:themeColor="background1"/>
      <w:sz w:val="44"/>
      <w:szCs w:val="44"/>
    </w:rPr>
  </w:style>
  <w:style w:type="table" w:styleId="TableGrid">
    <w:name w:val="Table Grid"/>
    <w:aliases w:val="Table Grid Header"/>
    <w:basedOn w:val="TableNormal"/>
    <w:rsid w:val="00EB3712"/>
    <w:rPr>
      <w:rFonts w:ascii="Cambria" w:eastAsia="Cambria" w:hAnsi="Cambria" w:cs="Cambria"/>
      <w:sz w:val="22"/>
      <w:szCs w:val="22"/>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712"/>
    <w:pPr>
      <w:spacing w:before="100" w:beforeAutospacing="1" w:after="100" w:afterAutospacing="1" w:line="240" w:lineRule="auto"/>
    </w:pPr>
    <w:rPr>
      <w:rFonts w:ascii="Times New Roman" w:eastAsia="Times New Roman" w:hAnsi="Times New Roman" w:cs="Times New Roman"/>
      <w:color w:val="000000" w:themeColor="text1"/>
      <w:sz w:val="24"/>
    </w:rPr>
  </w:style>
  <w:style w:type="character" w:styleId="FootnoteReference">
    <w:name w:val="footnote reference"/>
    <w:rsid w:val="00EB3712"/>
    <w:rPr>
      <w:rFonts w:ascii="Helvetica Neue" w:hAnsi="Helvetica Neue"/>
      <w:b w:val="0"/>
      <w:i w:val="0"/>
      <w:sz w:val="18"/>
      <w:vertAlign w:val="superscript"/>
    </w:rPr>
  </w:style>
  <w:style w:type="paragraph" w:customStyle="1" w:styleId="Indentedparagraph">
    <w:name w:val="Indented paragraph"/>
    <w:basedOn w:val="NormalWeb"/>
    <w:qFormat/>
    <w:rsid w:val="00EB3712"/>
    <w:pPr>
      <w:spacing w:line="276" w:lineRule="auto"/>
      <w:ind w:left="284"/>
    </w:pPr>
    <w:rPr>
      <w:rFonts w:ascii="Helvetica Neue" w:hAnsi="Helvetica Neue"/>
      <w:sz w:val="22"/>
      <w:szCs w:val="22"/>
    </w:rPr>
  </w:style>
  <w:style w:type="paragraph" w:styleId="FootnoteText">
    <w:name w:val="footnote text"/>
    <w:basedOn w:val="Normal"/>
    <w:link w:val="FootnoteTextChar"/>
    <w:uiPriority w:val="99"/>
    <w:semiHidden/>
    <w:unhideWhenUsed/>
    <w:rsid w:val="00EB3712"/>
    <w:pPr>
      <w:spacing w:after="0" w:line="240" w:lineRule="auto"/>
    </w:pPr>
    <w:rPr>
      <w:rFonts w:ascii="Arial" w:eastAsia="Cambria" w:hAnsi="Arial" w:cs="Cambria"/>
      <w:color w:val="000000" w:themeColor="text1"/>
      <w:sz w:val="20"/>
      <w:szCs w:val="20"/>
      <w:lang w:val="en" w:eastAsia="en-GB"/>
    </w:rPr>
  </w:style>
  <w:style w:type="character" w:customStyle="1" w:styleId="FootnoteTextChar">
    <w:name w:val="Footnote Text Char"/>
    <w:basedOn w:val="DefaultParagraphFont"/>
    <w:link w:val="FootnoteText"/>
    <w:uiPriority w:val="99"/>
    <w:semiHidden/>
    <w:rsid w:val="00EB3712"/>
    <w:rPr>
      <w:rFonts w:ascii="Arial" w:eastAsia="Cambria" w:hAnsi="Arial" w:cs="Cambria"/>
      <w:color w:val="000000" w:themeColor="text1"/>
      <w:sz w:val="20"/>
      <w:szCs w:val="20"/>
      <w:lang w:val="en" w:eastAsia="en-GB"/>
    </w:rPr>
  </w:style>
  <w:style w:type="paragraph" w:customStyle="1" w:styleId="Tablebullets">
    <w:name w:val="Table bullets"/>
    <w:basedOn w:val="TableofFigures"/>
    <w:autoRedefine/>
    <w:qFormat/>
    <w:rsid w:val="00EB3712"/>
    <w:pPr>
      <w:numPr>
        <w:numId w:val="5"/>
      </w:numPr>
      <w:ind w:left="312" w:hanging="284"/>
    </w:pPr>
    <w:rPr>
      <w:szCs w:val="22"/>
    </w:rPr>
  </w:style>
  <w:style w:type="character" w:styleId="Hyperlink">
    <w:name w:val="Hyperlink"/>
    <w:basedOn w:val="DefaultParagraphFont"/>
    <w:unhideWhenUsed/>
    <w:rsid w:val="00EE7C47"/>
    <w:rPr>
      <w:color w:val="0563C1" w:themeColor="hyperlink"/>
      <w:u w:val="single"/>
    </w:rPr>
  </w:style>
  <w:style w:type="character" w:styleId="UnresolvedMention">
    <w:name w:val="Unresolved Mention"/>
    <w:basedOn w:val="DefaultParagraphFont"/>
    <w:uiPriority w:val="99"/>
    <w:semiHidden/>
    <w:unhideWhenUsed/>
    <w:rsid w:val="00EE7C47"/>
    <w:rPr>
      <w:color w:val="605E5C"/>
      <w:shd w:val="clear" w:color="auto" w:fill="E1DFDD"/>
    </w:rPr>
  </w:style>
  <w:style w:type="paragraph" w:customStyle="1" w:styleId="TABLE-BodyTable">
    <w:name w:val="TABLE - Body (Table)"/>
    <w:basedOn w:val="Normal"/>
    <w:uiPriority w:val="99"/>
    <w:rsid w:val="00A34845"/>
    <w:pPr>
      <w:suppressAutoHyphens/>
      <w:autoSpaceDE w:val="0"/>
      <w:autoSpaceDN w:val="0"/>
      <w:adjustRightInd w:val="0"/>
      <w:spacing w:after="57" w:line="240" w:lineRule="atLeast"/>
      <w:jc w:val="right"/>
      <w:textAlignment w:val="center"/>
    </w:pPr>
    <w:rPr>
      <w:rFonts w:ascii="Guardian Sans Light" w:hAnsi="Guardian Sans Light" w:cs="Guardian Sans Light"/>
      <w:color w:val="000000"/>
      <w:spacing w:val="5"/>
      <w:sz w:val="17"/>
      <w:szCs w:val="17"/>
      <w:lang w:val="en-US"/>
    </w:rPr>
  </w:style>
  <w:style w:type="paragraph" w:customStyle="1" w:styleId="body">
    <w:name w:val="body"/>
    <w:basedOn w:val="Normal"/>
    <w:uiPriority w:val="99"/>
    <w:rsid w:val="00AF52B8"/>
    <w:pPr>
      <w:suppressAutoHyphens/>
      <w:autoSpaceDE w:val="0"/>
      <w:autoSpaceDN w:val="0"/>
      <w:adjustRightInd w:val="0"/>
      <w:spacing w:after="142" w:line="300" w:lineRule="atLeast"/>
      <w:textAlignment w:val="center"/>
    </w:pPr>
    <w:rPr>
      <w:rFonts w:ascii="Guardian Sans Light" w:hAnsi="Guardian Sans Light" w:cs="Guardian Sans Light"/>
      <w:color w:val="000000"/>
      <w:spacing w:val="6"/>
      <w:sz w:val="20"/>
      <w:szCs w:val="20"/>
      <w:lang w:val="en-US"/>
    </w:rPr>
  </w:style>
  <w:style w:type="paragraph" w:customStyle="1" w:styleId="StatementHead">
    <w:name w:val="Statement Head"/>
    <w:basedOn w:val="Normal"/>
    <w:uiPriority w:val="99"/>
    <w:rsid w:val="00AF52B8"/>
    <w:pPr>
      <w:autoSpaceDE w:val="0"/>
      <w:autoSpaceDN w:val="0"/>
      <w:adjustRightInd w:val="0"/>
      <w:spacing w:before="91" w:after="61" w:line="760" w:lineRule="atLeast"/>
      <w:textAlignment w:val="center"/>
    </w:pPr>
    <w:rPr>
      <w:rFonts w:ascii="Knockout 48 Featherweight" w:hAnsi="Knockout 48 Featherweight" w:cs="Knockout 48 Featherweight"/>
      <w:caps/>
      <w:color w:val="F49A32"/>
      <w:spacing w:val="13"/>
      <w:position w:val="6"/>
      <w:sz w:val="88"/>
      <w:szCs w:val="88"/>
      <w:lang w:val="en-US"/>
    </w:rPr>
  </w:style>
  <w:style w:type="paragraph" w:customStyle="1" w:styleId="BODYCopy">
    <w:name w:val="BODY Copy"/>
    <w:basedOn w:val="Normal"/>
    <w:uiPriority w:val="99"/>
    <w:rsid w:val="00AF52B8"/>
    <w:pPr>
      <w:suppressAutoHyphens/>
      <w:autoSpaceDE w:val="0"/>
      <w:autoSpaceDN w:val="0"/>
      <w:adjustRightInd w:val="0"/>
      <w:spacing w:after="113" w:line="300" w:lineRule="atLeast"/>
      <w:textAlignment w:val="center"/>
    </w:pPr>
    <w:rPr>
      <w:rFonts w:ascii="Guardian Sans Light" w:hAnsi="Guardian Sans Light" w:cs="Guardian Sans Light"/>
      <w:color w:val="000000"/>
      <w:spacing w:val="6"/>
      <w:sz w:val="20"/>
      <w:szCs w:val="20"/>
      <w:lang w:val="en-US"/>
    </w:rPr>
  </w:style>
  <w:style w:type="paragraph" w:customStyle="1" w:styleId="introbold">
    <w:name w:val="intro bold"/>
    <w:basedOn w:val="Normal"/>
    <w:uiPriority w:val="99"/>
    <w:rsid w:val="00AF52B8"/>
    <w:pPr>
      <w:suppressAutoHyphens/>
      <w:autoSpaceDE w:val="0"/>
      <w:autoSpaceDN w:val="0"/>
      <w:adjustRightInd w:val="0"/>
      <w:spacing w:after="454" w:line="300" w:lineRule="atLeast"/>
      <w:textAlignment w:val="center"/>
    </w:pPr>
    <w:rPr>
      <w:rFonts w:ascii="Gotham-Medium" w:hAnsi="Gotham-Medium" w:cs="Gotham-Medium"/>
      <w:color w:val="000000"/>
      <w:spacing w:val="5"/>
      <w:szCs w:val="21"/>
      <w:lang w:val="en-US"/>
    </w:rPr>
  </w:style>
  <w:style w:type="paragraph" w:customStyle="1" w:styleId="TABLEHEADER">
    <w:name w:val="TABLE HEADER"/>
    <w:basedOn w:val="BODYCopy"/>
    <w:uiPriority w:val="99"/>
    <w:rsid w:val="00AF52B8"/>
    <w:rPr>
      <w:sz w:val="19"/>
      <w:szCs w:val="19"/>
    </w:rPr>
  </w:style>
  <w:style w:type="paragraph" w:customStyle="1" w:styleId="bullet">
    <w:name w:val="bullet"/>
    <w:basedOn w:val="body"/>
    <w:uiPriority w:val="99"/>
    <w:rsid w:val="00AF52B8"/>
    <w:pPr>
      <w:tabs>
        <w:tab w:val="left" w:pos="283"/>
      </w:tabs>
      <w:spacing w:after="85" w:line="290" w:lineRule="atLeast"/>
      <w:ind w:left="283" w:hanging="283"/>
    </w:pPr>
  </w:style>
  <w:style w:type="paragraph" w:customStyle="1" w:styleId="contents">
    <w:name w:val="#contents"/>
    <w:basedOn w:val="body"/>
    <w:uiPriority w:val="99"/>
    <w:rsid w:val="00AF52B8"/>
    <w:pPr>
      <w:spacing w:after="44"/>
    </w:pPr>
    <w:rPr>
      <w:rFonts w:ascii="Gotham-Book" w:hAnsi="Gotham-Book" w:cs="Gotham-Book"/>
    </w:rPr>
  </w:style>
  <w:style w:type="paragraph" w:customStyle="1" w:styleId="SUbHEad-table">
    <w:name w:val="SUb HEad -table"/>
    <w:basedOn w:val="introbold"/>
    <w:uiPriority w:val="99"/>
    <w:rsid w:val="00211438"/>
    <w:pPr>
      <w:spacing w:after="57" w:line="240" w:lineRule="atLeast"/>
    </w:pPr>
    <w:rPr>
      <w:spacing w:val="4"/>
      <w:sz w:val="18"/>
      <w:szCs w:val="18"/>
    </w:rPr>
  </w:style>
  <w:style w:type="paragraph" w:customStyle="1" w:styleId="NoParagraphStyle">
    <w:name w:val="[No Paragraph Style]"/>
    <w:rsid w:val="00211438"/>
    <w:pPr>
      <w:autoSpaceDE w:val="0"/>
      <w:autoSpaceDN w:val="0"/>
      <w:adjustRightInd w:val="0"/>
      <w:spacing w:line="288" w:lineRule="auto"/>
      <w:textAlignment w:val="center"/>
    </w:pPr>
    <w:rPr>
      <w:rFonts w:ascii="Minion Pro" w:hAnsi="Minion Pro" w:cs="Minion Pro"/>
      <w:color w:val="000000"/>
      <w:lang w:val="en-GB"/>
    </w:rPr>
  </w:style>
  <w:style w:type="paragraph" w:customStyle="1" w:styleId="BUlletslast">
    <w:name w:val="BUllets last"/>
    <w:basedOn w:val="Bullets"/>
    <w:qFormat/>
    <w:rsid w:val="00211438"/>
    <w:pPr>
      <w:spacing w:after="240"/>
      <w:ind w:left="714" w:hanging="357"/>
    </w:pPr>
    <w:rPr>
      <w:lang w:val="en-US"/>
    </w:rPr>
  </w:style>
  <w:style w:type="paragraph" w:customStyle="1" w:styleId="Activity">
    <w:name w:val="Activity"/>
    <w:basedOn w:val="Normal"/>
    <w:uiPriority w:val="99"/>
    <w:rsid w:val="00C06E69"/>
    <w:pPr>
      <w:autoSpaceDE w:val="0"/>
      <w:autoSpaceDN w:val="0"/>
      <w:adjustRightInd w:val="0"/>
      <w:spacing w:after="28" w:line="200" w:lineRule="atLeast"/>
      <w:textAlignment w:val="center"/>
    </w:pPr>
    <w:rPr>
      <w:rFonts w:cs="Helvetica Neue"/>
      <w:color w:val="000000"/>
      <w:spacing w:val="2"/>
      <w:sz w:val="16"/>
      <w:szCs w:val="16"/>
      <w:lang w:val="en-US"/>
    </w:rPr>
  </w:style>
  <w:style w:type="character" w:customStyle="1" w:styleId="bold">
    <w:name w:val="bold"/>
    <w:uiPriority w:val="99"/>
    <w:rsid w:val="00C06E69"/>
    <w:rPr>
      <w:b/>
      <w:bCs/>
    </w:rPr>
  </w:style>
  <w:style w:type="paragraph" w:styleId="Caption">
    <w:name w:val="caption"/>
    <w:aliases w:val="Caption SF"/>
    <w:basedOn w:val="Normal"/>
    <w:next w:val="Normal"/>
    <w:qFormat/>
    <w:rsid w:val="00E579CB"/>
    <w:pPr>
      <w:overflowPunct w:val="0"/>
      <w:autoSpaceDE w:val="0"/>
      <w:autoSpaceDN w:val="0"/>
      <w:adjustRightInd w:val="0"/>
      <w:spacing w:before="120" w:after="240"/>
      <w:textAlignment w:val="baseline"/>
    </w:pPr>
    <w:rPr>
      <w:rFonts w:ascii="HelveticaNeueLT Std Lt Ital" w:eastAsia="Times New Roman" w:hAnsi="HelveticaNeueLT Std Lt Ital" w:cs="Times New Roman"/>
      <w:sz w:val="28"/>
    </w:rPr>
  </w:style>
  <w:style w:type="paragraph" w:customStyle="1" w:styleId="HeaderSF">
    <w:name w:val="Header SF"/>
    <w:basedOn w:val="Heading1"/>
    <w:rsid w:val="00E579CB"/>
    <w:pPr>
      <w:keepLines w:val="0"/>
      <w:spacing w:before="120" w:after="0" w:line="288" w:lineRule="auto"/>
    </w:pPr>
    <w:rPr>
      <w:rFonts w:ascii="HelveticaNeueLT Std Lt" w:eastAsia="Times New Roman" w:hAnsi="HelveticaNeueLT Std Lt" w:cs="Times New Roman"/>
      <w:b w:val="0"/>
      <w:color w:val="auto"/>
      <w:kern w:val="32"/>
      <w:sz w:val="18"/>
      <w:szCs w:val="32"/>
      <w:lang w:val="x-none" w:eastAsia="x-none"/>
    </w:rPr>
  </w:style>
  <w:style w:type="paragraph" w:customStyle="1" w:styleId="Heading2SF">
    <w:name w:val="Heading 2 SF"/>
    <w:basedOn w:val="Normal"/>
    <w:autoRedefine/>
    <w:rsid w:val="00E579CB"/>
    <w:pPr>
      <w:spacing w:after="0"/>
    </w:pPr>
    <w:rPr>
      <w:rFonts w:ascii="HelveticaNeueLT Std Lt" w:eastAsia="Georgia" w:hAnsi="HelveticaNeueLT Std Lt" w:cs="Times New Roman"/>
      <w:sz w:val="22"/>
      <w:lang w:val="en-US"/>
    </w:rPr>
  </w:style>
  <w:style w:type="paragraph" w:customStyle="1" w:styleId="ItalicsSF">
    <w:name w:val="Italics SF"/>
    <w:basedOn w:val="Normal"/>
    <w:rsid w:val="00E579CB"/>
    <w:pPr>
      <w:overflowPunct w:val="0"/>
      <w:autoSpaceDE w:val="0"/>
      <w:autoSpaceDN w:val="0"/>
      <w:adjustRightInd w:val="0"/>
      <w:spacing w:before="120" w:after="240"/>
      <w:textAlignment w:val="baseline"/>
    </w:pPr>
    <w:rPr>
      <w:rFonts w:ascii="HelveticaNeueLT Std Lt Ital" w:eastAsia="Times New Roman" w:hAnsi="HelveticaNeueLT Std Lt Ital" w:cs="Times New Roman"/>
      <w:sz w:val="22"/>
    </w:rPr>
  </w:style>
  <w:style w:type="paragraph" w:styleId="ListBullet">
    <w:name w:val="List Bullet"/>
    <w:aliases w:val="List Bullet SF"/>
    <w:basedOn w:val="Normal"/>
    <w:rsid w:val="00E579CB"/>
    <w:pPr>
      <w:tabs>
        <w:tab w:val="num" w:pos="360"/>
      </w:tabs>
      <w:spacing w:before="120" w:after="240" w:line="264" w:lineRule="auto"/>
      <w:ind w:left="360" w:hanging="360"/>
    </w:pPr>
    <w:rPr>
      <w:rFonts w:ascii="HelveticaNeueLT Std Lt" w:eastAsia="Georgia" w:hAnsi="HelveticaNeueLT Std Lt" w:cs="Times New Roman"/>
      <w:sz w:val="22"/>
      <w:lang w:val="en-US"/>
    </w:rPr>
  </w:style>
  <w:style w:type="paragraph" w:customStyle="1" w:styleId="MediumGrid1-Accent21">
    <w:name w:val="Medium Grid 1 - Accent 21"/>
    <w:aliases w:val="List Paragraph SF"/>
    <w:basedOn w:val="Normal"/>
    <w:qFormat/>
    <w:rsid w:val="00E579CB"/>
    <w:pPr>
      <w:numPr>
        <w:numId w:val="6"/>
      </w:numPr>
      <w:overflowPunct w:val="0"/>
      <w:autoSpaceDE w:val="0"/>
      <w:autoSpaceDN w:val="0"/>
      <w:adjustRightInd w:val="0"/>
      <w:spacing w:before="120" w:line="264" w:lineRule="auto"/>
      <w:textAlignment w:val="baseline"/>
    </w:pPr>
    <w:rPr>
      <w:rFonts w:ascii="HelveticaNeueLT Std Lt" w:eastAsia="Times New Roman" w:hAnsi="HelveticaNeueLT Std Lt" w:cs="Times New Roman"/>
      <w:sz w:val="22"/>
    </w:rPr>
  </w:style>
  <w:style w:type="paragraph" w:styleId="TOC1">
    <w:name w:val="toc 1"/>
    <w:basedOn w:val="Normal"/>
    <w:next w:val="Normal"/>
    <w:autoRedefine/>
    <w:uiPriority w:val="39"/>
    <w:rsid w:val="00E579CB"/>
    <w:pPr>
      <w:tabs>
        <w:tab w:val="right" w:leader="dot" w:pos="8290"/>
      </w:tabs>
      <w:overflowPunct w:val="0"/>
      <w:autoSpaceDE w:val="0"/>
      <w:autoSpaceDN w:val="0"/>
      <w:adjustRightInd w:val="0"/>
      <w:spacing w:before="160" w:after="40" w:line="240" w:lineRule="auto"/>
      <w:textAlignment w:val="baseline"/>
    </w:pPr>
    <w:rPr>
      <w:rFonts w:ascii="HelveticaNeueLT Std Med" w:eastAsia="Times New Roman" w:hAnsi="HelveticaNeueLT Std Med" w:cs="Times New Roman"/>
      <w:sz w:val="22"/>
      <w:szCs w:val="22"/>
    </w:rPr>
  </w:style>
  <w:style w:type="paragraph" w:styleId="TOC2">
    <w:name w:val="toc 2"/>
    <w:basedOn w:val="Normal"/>
    <w:next w:val="Normal"/>
    <w:autoRedefine/>
    <w:uiPriority w:val="39"/>
    <w:rsid w:val="00E579CB"/>
    <w:pPr>
      <w:tabs>
        <w:tab w:val="right" w:leader="dot" w:pos="8290"/>
      </w:tabs>
      <w:overflowPunct w:val="0"/>
      <w:autoSpaceDE w:val="0"/>
      <w:autoSpaceDN w:val="0"/>
      <w:adjustRightInd w:val="0"/>
      <w:spacing w:after="0" w:line="240" w:lineRule="auto"/>
      <w:ind w:left="221"/>
      <w:textAlignment w:val="baseline"/>
    </w:pPr>
    <w:rPr>
      <w:rFonts w:ascii="HelveticaNeueLT Std Lt" w:eastAsia="Times New Roman" w:hAnsi="HelveticaNeueLT Std Lt" w:cs="Times New Roman"/>
      <w:sz w:val="20"/>
      <w:szCs w:val="22"/>
    </w:rPr>
  </w:style>
  <w:style w:type="paragraph" w:styleId="TOC3">
    <w:name w:val="toc 3"/>
    <w:basedOn w:val="Normal"/>
    <w:next w:val="Normal"/>
    <w:autoRedefine/>
    <w:uiPriority w:val="39"/>
    <w:rsid w:val="00E579CB"/>
    <w:pPr>
      <w:tabs>
        <w:tab w:val="left" w:pos="1220"/>
        <w:tab w:val="right" w:leader="dot" w:pos="9488"/>
      </w:tabs>
      <w:overflowPunct w:val="0"/>
      <w:autoSpaceDE w:val="0"/>
      <w:autoSpaceDN w:val="0"/>
      <w:adjustRightInd w:val="0"/>
      <w:spacing w:after="0"/>
      <w:ind w:left="440"/>
      <w:textAlignment w:val="baseline"/>
    </w:pPr>
    <w:rPr>
      <w:rFonts w:ascii="HelveticaNeueLT Std Lt" w:eastAsia="Times New Roman" w:hAnsi="HelveticaNeueLT Std Lt" w:cs="Times New Roman"/>
      <w:sz w:val="20"/>
      <w:szCs w:val="22"/>
    </w:rPr>
  </w:style>
  <w:style w:type="paragraph" w:styleId="TOCHeading">
    <w:name w:val="TOC Heading"/>
    <w:basedOn w:val="Heading1"/>
    <w:next w:val="Normal"/>
    <w:autoRedefine/>
    <w:uiPriority w:val="39"/>
    <w:unhideWhenUsed/>
    <w:qFormat/>
    <w:rsid w:val="00E579CB"/>
    <w:pPr>
      <w:spacing w:before="0" w:after="0" w:line="276" w:lineRule="auto"/>
      <w:outlineLvl w:val="9"/>
    </w:pPr>
    <w:rPr>
      <w:rFonts w:ascii="HelveticaNeueLT Std Med" w:eastAsia="Times New Roman" w:hAnsi="HelveticaNeueLT Std Med" w:cs="Times New Roman"/>
      <w:b w:val="0"/>
      <w:bCs/>
      <w:color w:val="auto"/>
      <w:kern w:val="32"/>
      <w:sz w:val="28"/>
      <w:szCs w:val="28"/>
      <w:lang w:val="x-none" w:eastAsia="x-none"/>
    </w:rPr>
  </w:style>
  <w:style w:type="paragraph" w:styleId="EndnoteText">
    <w:name w:val="endnote text"/>
    <w:basedOn w:val="Normal"/>
    <w:link w:val="EndnoteTextChar"/>
    <w:autoRedefine/>
    <w:rsid w:val="00E579CB"/>
    <w:pPr>
      <w:spacing w:after="0" w:line="240" w:lineRule="auto"/>
    </w:pPr>
    <w:rPr>
      <w:rFonts w:ascii="HelveticaNeueLT Std Lt" w:eastAsia="Times New Roman" w:hAnsi="HelveticaNeueLT Std Lt" w:cs="Times New Roman"/>
      <w:sz w:val="16"/>
      <w:lang w:val="en-US" w:eastAsia="x-none"/>
    </w:rPr>
  </w:style>
  <w:style w:type="character" w:customStyle="1" w:styleId="EndnoteTextChar">
    <w:name w:val="Endnote Text Char"/>
    <w:basedOn w:val="DefaultParagraphFont"/>
    <w:link w:val="EndnoteText"/>
    <w:rsid w:val="00E579CB"/>
    <w:rPr>
      <w:rFonts w:ascii="HelveticaNeueLT Std Lt" w:eastAsia="Times New Roman" w:hAnsi="HelveticaNeueLT Std Lt" w:cs="Times New Roman"/>
      <w:sz w:val="16"/>
      <w:lang w:val="en-US" w:eastAsia="x-none"/>
    </w:rPr>
  </w:style>
  <w:style w:type="paragraph" w:customStyle="1" w:styleId="QuoteSF">
    <w:name w:val="Quote SF"/>
    <w:basedOn w:val="Normal"/>
    <w:qFormat/>
    <w:rsid w:val="00E579CB"/>
    <w:pPr>
      <w:spacing w:after="240"/>
      <w:ind w:left="567" w:right="567"/>
    </w:pPr>
    <w:rPr>
      <w:rFonts w:ascii="HelveticaNeueLT Std Lt" w:eastAsia="Georgia" w:hAnsi="HelveticaNeueLT Std Lt" w:cs="Times New Roman"/>
      <w:i/>
      <w:sz w:val="22"/>
    </w:rPr>
  </w:style>
  <w:style w:type="paragraph" w:customStyle="1" w:styleId="Boldheading">
    <w:name w:val="Bold heading"/>
    <w:basedOn w:val="Normal"/>
    <w:autoRedefine/>
    <w:rsid w:val="00E579CB"/>
    <w:pPr>
      <w:spacing w:after="0"/>
    </w:pPr>
    <w:rPr>
      <w:rFonts w:ascii="HelveticaNeueLT Std Lt" w:eastAsia="Georgia" w:hAnsi="HelveticaNeueLT Std Lt" w:cs="Times New Roman"/>
      <w:b/>
      <w:sz w:val="22"/>
      <w:lang w:val="en-US"/>
    </w:rPr>
  </w:style>
  <w:style w:type="paragraph" w:customStyle="1" w:styleId="Boldsubheading">
    <w:name w:val="Bold subheading"/>
    <w:basedOn w:val="Normal"/>
    <w:autoRedefine/>
    <w:rsid w:val="00E579CB"/>
    <w:pPr>
      <w:spacing w:after="0"/>
    </w:pPr>
    <w:rPr>
      <w:rFonts w:ascii="HelveticaNeueLT Std Lt" w:eastAsia="Georgia" w:hAnsi="HelveticaNeueLT Std Lt" w:cs="Times New Roman"/>
      <w:b/>
      <w:sz w:val="22"/>
      <w:lang w:val="en-US"/>
    </w:rPr>
  </w:style>
  <w:style w:type="paragraph" w:customStyle="1" w:styleId="Quote1">
    <w:name w:val="Quote 1"/>
    <w:basedOn w:val="Normal"/>
    <w:autoRedefine/>
    <w:qFormat/>
    <w:rsid w:val="00E579CB"/>
    <w:pPr>
      <w:spacing w:after="240"/>
      <w:ind w:left="567" w:right="567"/>
    </w:pPr>
    <w:rPr>
      <w:rFonts w:ascii="HelveticaNeueLT Std Lt" w:eastAsia="Georgia" w:hAnsi="HelveticaNeueLT Std Lt" w:cs="Times New Roman"/>
      <w:sz w:val="22"/>
    </w:rPr>
  </w:style>
  <w:style w:type="paragraph" w:customStyle="1" w:styleId="Boldsize11pt">
    <w:name w:val="Bold size 11pt"/>
    <w:qFormat/>
    <w:rsid w:val="00E579CB"/>
    <w:pPr>
      <w:spacing w:after="240" w:line="288" w:lineRule="auto"/>
    </w:pPr>
    <w:rPr>
      <w:rFonts w:ascii="HelveticaNeueLT Std Med" w:eastAsia="Times New Roman" w:hAnsi="HelveticaNeueLT Std Med" w:cs="Times New Roman"/>
      <w:bCs/>
      <w:sz w:val="22"/>
      <w:lang w:val="en-US"/>
    </w:rPr>
  </w:style>
  <w:style w:type="paragraph" w:customStyle="1" w:styleId="BasicParagraph">
    <w:name w:val="[Basic Paragraph]"/>
    <w:basedOn w:val="Normal"/>
    <w:uiPriority w:val="99"/>
    <w:rsid w:val="00E579CB"/>
    <w:pPr>
      <w:widowControl w:val="0"/>
      <w:suppressAutoHyphens/>
      <w:autoSpaceDE w:val="0"/>
      <w:autoSpaceDN w:val="0"/>
      <w:adjustRightInd w:val="0"/>
      <w:spacing w:after="340" w:line="300" w:lineRule="atLeast"/>
      <w:textAlignment w:val="center"/>
    </w:pPr>
    <w:rPr>
      <w:rFonts w:ascii="HelveticaNeueLTStd-Lt" w:eastAsia="Times New Roman" w:hAnsi="HelveticaNeueLTStd-Lt" w:cs="HelveticaNeueLTStd-Lt"/>
      <w:color w:val="000000"/>
      <w:sz w:val="22"/>
      <w:szCs w:val="22"/>
      <w:lang w:val="en-GB"/>
    </w:rPr>
  </w:style>
  <w:style w:type="character" w:customStyle="1" w:styleId="Boldstdtext">
    <w:name w:val="Bold std text"/>
    <w:uiPriority w:val="99"/>
    <w:rsid w:val="00E579CB"/>
    <w:rPr>
      <w:rFonts w:ascii="HelveticaNeueLTStd-Md" w:hAnsi="HelveticaNeueLTStd-Md" w:cs="HelveticaNeueLTStd-Md"/>
      <w:sz w:val="22"/>
      <w:szCs w:val="22"/>
    </w:rPr>
  </w:style>
  <w:style w:type="paragraph" w:customStyle="1" w:styleId="Default">
    <w:name w:val="Default"/>
    <w:rsid w:val="00E579CB"/>
    <w:pPr>
      <w:widowControl w:val="0"/>
      <w:autoSpaceDE w:val="0"/>
      <w:autoSpaceDN w:val="0"/>
      <w:adjustRightInd w:val="0"/>
    </w:pPr>
    <w:rPr>
      <w:rFonts w:ascii="HelveticaNeueLT Std Lt" w:eastAsia="Times New Roman" w:hAnsi="HelveticaNeueLT Std Lt" w:cs="HelveticaNeueLT Std Lt"/>
      <w:color w:val="000000"/>
      <w:lang w:val="en-US"/>
    </w:rPr>
  </w:style>
  <w:style w:type="paragraph" w:customStyle="1" w:styleId="Pa4">
    <w:name w:val="Pa4"/>
    <w:basedOn w:val="Default"/>
    <w:next w:val="Default"/>
    <w:uiPriority w:val="99"/>
    <w:rsid w:val="00E579CB"/>
    <w:pPr>
      <w:spacing w:line="241" w:lineRule="atLeast"/>
    </w:pPr>
    <w:rPr>
      <w:rFonts w:cs="Times New Roman"/>
      <w:color w:val="auto"/>
    </w:rPr>
  </w:style>
  <w:style w:type="character" w:customStyle="1" w:styleId="A0">
    <w:name w:val="A0"/>
    <w:uiPriority w:val="99"/>
    <w:rsid w:val="00E579CB"/>
    <w:rPr>
      <w:rFonts w:cs="HelveticaNeueLT Std Lt"/>
      <w:color w:val="211D1E"/>
      <w:sz w:val="22"/>
      <w:szCs w:val="22"/>
    </w:rPr>
  </w:style>
  <w:style w:type="paragraph" w:styleId="BalloonText">
    <w:name w:val="Balloon Text"/>
    <w:basedOn w:val="Normal"/>
    <w:link w:val="BalloonTextChar"/>
    <w:rsid w:val="00E579CB"/>
    <w:pPr>
      <w:overflowPunct w:val="0"/>
      <w:autoSpaceDE w:val="0"/>
      <w:autoSpaceDN w:val="0"/>
      <w:adjustRightInd w:val="0"/>
      <w:spacing w:after="0" w:line="240" w:lineRule="auto"/>
      <w:textAlignment w:val="baseline"/>
    </w:pPr>
    <w:rPr>
      <w:rFonts w:ascii="Lucida Grande" w:eastAsia="Times New Roman" w:hAnsi="Lucida Grande" w:cs="Times New Roman"/>
      <w:sz w:val="18"/>
      <w:szCs w:val="18"/>
      <w:lang w:eastAsia="x-none"/>
    </w:rPr>
  </w:style>
  <w:style w:type="character" w:customStyle="1" w:styleId="BalloonTextChar">
    <w:name w:val="Balloon Text Char"/>
    <w:basedOn w:val="DefaultParagraphFont"/>
    <w:link w:val="BalloonText"/>
    <w:rsid w:val="00E579CB"/>
    <w:rPr>
      <w:rFonts w:ascii="Lucida Grande" w:eastAsia="Times New Roman" w:hAnsi="Lucida Grande" w:cs="Times New Roman"/>
      <w:sz w:val="18"/>
      <w:szCs w:val="18"/>
      <w:lang w:eastAsia="x-none"/>
    </w:rPr>
  </w:style>
  <w:style w:type="character" w:styleId="CommentReference">
    <w:name w:val="annotation reference"/>
    <w:rsid w:val="00E579CB"/>
    <w:rPr>
      <w:sz w:val="18"/>
      <w:szCs w:val="18"/>
    </w:rPr>
  </w:style>
  <w:style w:type="paragraph" w:styleId="CommentText">
    <w:name w:val="annotation text"/>
    <w:basedOn w:val="Normal"/>
    <w:link w:val="CommentTextChar"/>
    <w:rsid w:val="00E579CB"/>
    <w:pPr>
      <w:overflowPunct w:val="0"/>
      <w:autoSpaceDE w:val="0"/>
      <w:autoSpaceDN w:val="0"/>
      <w:adjustRightInd w:val="0"/>
      <w:spacing w:before="120" w:after="240" w:line="240" w:lineRule="auto"/>
      <w:textAlignment w:val="baseline"/>
    </w:pPr>
    <w:rPr>
      <w:rFonts w:ascii="HelveticaNeueLT Std Lt" w:eastAsia="Times New Roman" w:hAnsi="HelveticaNeueLT Std Lt" w:cs="Times New Roman"/>
      <w:sz w:val="20"/>
      <w:szCs w:val="20"/>
      <w:lang w:eastAsia="x-none"/>
    </w:rPr>
  </w:style>
  <w:style w:type="character" w:customStyle="1" w:styleId="CommentTextChar">
    <w:name w:val="Comment Text Char"/>
    <w:basedOn w:val="DefaultParagraphFont"/>
    <w:link w:val="CommentText"/>
    <w:rsid w:val="00E579CB"/>
    <w:rPr>
      <w:rFonts w:ascii="HelveticaNeueLT Std Lt" w:eastAsia="Times New Roman" w:hAnsi="HelveticaNeueLT Std Lt" w:cs="Times New Roman"/>
      <w:sz w:val="20"/>
      <w:szCs w:val="20"/>
      <w:lang w:eastAsia="x-none"/>
    </w:rPr>
  </w:style>
  <w:style w:type="paragraph" w:styleId="CommentSubject">
    <w:name w:val="annotation subject"/>
    <w:basedOn w:val="CommentText"/>
    <w:next w:val="CommentText"/>
    <w:link w:val="CommentSubjectChar"/>
    <w:rsid w:val="00E579CB"/>
    <w:rPr>
      <w:b/>
      <w:bCs/>
    </w:rPr>
  </w:style>
  <w:style w:type="character" w:customStyle="1" w:styleId="CommentSubjectChar">
    <w:name w:val="Comment Subject Char"/>
    <w:basedOn w:val="CommentTextChar"/>
    <w:link w:val="CommentSubject"/>
    <w:rsid w:val="00E579CB"/>
    <w:rPr>
      <w:rFonts w:ascii="HelveticaNeueLT Std Lt" w:eastAsia="Times New Roman" w:hAnsi="HelveticaNeueLT Std Lt" w:cs="Times New Roman"/>
      <w:b/>
      <w:bCs/>
      <w:sz w:val="20"/>
      <w:szCs w:val="20"/>
      <w:lang w:eastAsia="x-none"/>
    </w:rPr>
  </w:style>
  <w:style w:type="paragraph" w:customStyle="1" w:styleId="Achievement">
    <w:name w:val="Achievement"/>
    <w:basedOn w:val="BodyText"/>
    <w:rsid w:val="00E579CB"/>
    <w:pPr>
      <w:numPr>
        <w:numId w:val="7"/>
      </w:numPr>
      <w:spacing w:after="60" w:line="220" w:lineRule="atLeast"/>
      <w:jc w:val="both"/>
    </w:pPr>
    <w:rPr>
      <w:spacing w:val="-5"/>
      <w:sz w:val="20"/>
    </w:rPr>
  </w:style>
  <w:style w:type="paragraph" w:styleId="BodyText">
    <w:name w:val="Body Text"/>
    <w:basedOn w:val="Normal"/>
    <w:link w:val="BodyTextChar"/>
    <w:rsid w:val="00E579CB"/>
    <w:rPr>
      <w:rFonts w:ascii="Arial" w:eastAsia="Times New Roman" w:hAnsi="Arial" w:cs="Times New Roman"/>
      <w:sz w:val="22"/>
      <w:szCs w:val="20"/>
      <w:lang w:eastAsia="x-none"/>
    </w:rPr>
  </w:style>
  <w:style w:type="character" w:customStyle="1" w:styleId="BodyTextChar">
    <w:name w:val="Body Text Char"/>
    <w:basedOn w:val="DefaultParagraphFont"/>
    <w:link w:val="BodyText"/>
    <w:rsid w:val="00E579CB"/>
    <w:rPr>
      <w:rFonts w:ascii="Arial" w:eastAsia="Times New Roman" w:hAnsi="Arial" w:cs="Times New Roman"/>
      <w:sz w:val="22"/>
      <w:szCs w:val="20"/>
      <w:lang w:eastAsia="x-none"/>
    </w:rPr>
  </w:style>
  <w:style w:type="paragraph" w:customStyle="1" w:styleId="CompanyName">
    <w:name w:val="Company Name"/>
    <w:basedOn w:val="Normal"/>
    <w:next w:val="Normal"/>
    <w:autoRedefine/>
    <w:rsid w:val="00E579CB"/>
    <w:pPr>
      <w:pBdr>
        <w:top w:val="single" w:sz="4" w:space="1" w:color="auto"/>
      </w:pBdr>
      <w:tabs>
        <w:tab w:val="left" w:pos="2160"/>
        <w:tab w:val="right" w:pos="8940"/>
      </w:tabs>
      <w:spacing w:after="60" w:line="24" w:lineRule="atLeast"/>
      <w:jc w:val="center"/>
    </w:pPr>
    <w:rPr>
      <w:rFonts w:ascii="Arial Black" w:eastAsia="Times New Roman" w:hAnsi="Arial Black" w:cs="Arial"/>
      <w:sz w:val="24"/>
      <w:szCs w:val="20"/>
    </w:rPr>
  </w:style>
  <w:style w:type="paragraph" w:customStyle="1" w:styleId="JobTitle">
    <w:name w:val="Job Title"/>
    <w:next w:val="Achievement"/>
    <w:rsid w:val="00E579CB"/>
    <w:pPr>
      <w:spacing w:after="60" w:line="220" w:lineRule="atLeast"/>
    </w:pPr>
    <w:rPr>
      <w:rFonts w:ascii="Arial Black" w:eastAsia="Times New Roman" w:hAnsi="Arial Black" w:cs="Times New Roman"/>
      <w:spacing w:val="-10"/>
      <w:sz w:val="20"/>
      <w:szCs w:val="20"/>
      <w:lang w:val="en-US"/>
    </w:rPr>
  </w:style>
  <w:style w:type="paragraph" w:customStyle="1" w:styleId="Objective">
    <w:name w:val="Objective"/>
    <w:basedOn w:val="Normal"/>
    <w:next w:val="BodyText"/>
    <w:rsid w:val="00E579CB"/>
    <w:pPr>
      <w:spacing w:before="240" w:after="220" w:line="220" w:lineRule="atLeast"/>
    </w:pPr>
    <w:rPr>
      <w:rFonts w:ascii="Arial" w:eastAsia="Times New Roman" w:hAnsi="Arial" w:cs="Times New Roman"/>
      <w:sz w:val="20"/>
      <w:szCs w:val="20"/>
    </w:rPr>
  </w:style>
  <w:style w:type="paragraph" w:customStyle="1" w:styleId="Name">
    <w:name w:val="Name"/>
    <w:basedOn w:val="Normal"/>
    <w:next w:val="Normal"/>
    <w:rsid w:val="00E579CB"/>
    <w:pPr>
      <w:pBdr>
        <w:bottom w:val="single" w:sz="6" w:space="4" w:color="auto"/>
      </w:pBdr>
      <w:spacing w:after="440" w:line="240" w:lineRule="atLeast"/>
    </w:pPr>
    <w:rPr>
      <w:rFonts w:ascii="Arial Black" w:eastAsia="Times New Roman" w:hAnsi="Arial Black" w:cs="Times New Roman"/>
      <w:spacing w:val="-35"/>
      <w:sz w:val="54"/>
      <w:szCs w:val="20"/>
    </w:rPr>
  </w:style>
  <w:style w:type="paragraph" w:customStyle="1" w:styleId="Address2">
    <w:name w:val="Address 2"/>
    <w:basedOn w:val="Normal"/>
    <w:rsid w:val="00E579CB"/>
    <w:pPr>
      <w:spacing w:after="0" w:line="160" w:lineRule="atLeast"/>
      <w:jc w:val="both"/>
    </w:pPr>
    <w:rPr>
      <w:rFonts w:ascii="Arial" w:eastAsia="Times New Roman" w:hAnsi="Arial" w:cs="Times New Roman"/>
      <w:sz w:val="14"/>
      <w:szCs w:val="20"/>
    </w:rPr>
  </w:style>
  <w:style w:type="paragraph" w:customStyle="1" w:styleId="Address1">
    <w:name w:val="Address 1"/>
    <w:basedOn w:val="Normal"/>
    <w:rsid w:val="00E579CB"/>
    <w:pPr>
      <w:spacing w:after="0" w:line="160" w:lineRule="atLeast"/>
      <w:jc w:val="both"/>
    </w:pPr>
    <w:rPr>
      <w:rFonts w:ascii="Arial" w:eastAsia="Times New Roman" w:hAnsi="Arial" w:cs="Times New Roman"/>
      <w:sz w:val="14"/>
      <w:szCs w:val="20"/>
    </w:rPr>
  </w:style>
  <w:style w:type="character" w:styleId="FollowedHyperlink">
    <w:name w:val="FollowedHyperlink"/>
    <w:rsid w:val="00E579CB"/>
    <w:rPr>
      <w:color w:val="800080"/>
      <w:u w:val="single"/>
    </w:rPr>
  </w:style>
  <w:style w:type="paragraph" w:styleId="BodyText2">
    <w:name w:val="Body Text 2"/>
    <w:basedOn w:val="Normal"/>
    <w:link w:val="BodyText2Char"/>
    <w:rsid w:val="00E579CB"/>
    <w:pPr>
      <w:spacing w:after="60" w:line="24" w:lineRule="atLeast"/>
      <w:jc w:val="both"/>
    </w:pPr>
    <w:rPr>
      <w:rFonts w:ascii="Arial" w:eastAsia="Times New Roman" w:hAnsi="Arial" w:cs="Times New Roman"/>
      <w:sz w:val="20"/>
      <w:szCs w:val="20"/>
      <w:lang w:eastAsia="x-none"/>
    </w:rPr>
  </w:style>
  <w:style w:type="character" w:customStyle="1" w:styleId="BodyText2Char">
    <w:name w:val="Body Text 2 Char"/>
    <w:basedOn w:val="DefaultParagraphFont"/>
    <w:link w:val="BodyText2"/>
    <w:rsid w:val="00E579CB"/>
    <w:rPr>
      <w:rFonts w:ascii="Arial" w:eastAsia="Times New Roman" w:hAnsi="Arial" w:cs="Times New Roman"/>
      <w:sz w:val="20"/>
      <w:szCs w:val="20"/>
      <w:lang w:eastAsia="x-none"/>
    </w:rPr>
  </w:style>
  <w:style w:type="paragraph" w:customStyle="1" w:styleId="headL1">
    <w:name w:val="head:L1"/>
    <w:rsid w:val="00E579CB"/>
    <w:pPr>
      <w:keepNext/>
      <w:keepLines/>
      <w:autoSpaceDE w:val="0"/>
      <w:autoSpaceDN w:val="0"/>
      <w:spacing w:before="120" w:after="60"/>
      <w:ind w:left="1418" w:hanging="1418"/>
      <w:outlineLvl w:val="2"/>
    </w:pPr>
    <w:rPr>
      <w:rFonts w:ascii="Arial" w:eastAsia="Times New Roman" w:hAnsi="Arial" w:cs="Arial"/>
      <w:b/>
      <w:bCs/>
      <w:color w:val="000080"/>
      <w:sz w:val="28"/>
      <w:szCs w:val="28"/>
    </w:rPr>
  </w:style>
  <w:style w:type="paragraph" w:customStyle="1" w:styleId="headL2">
    <w:name w:val="head:L2"/>
    <w:rsid w:val="00E579CB"/>
    <w:pPr>
      <w:keepNext/>
      <w:keepLines/>
      <w:autoSpaceDE w:val="0"/>
      <w:autoSpaceDN w:val="0"/>
      <w:spacing w:before="120" w:after="60"/>
      <w:ind w:left="1418" w:hanging="1418"/>
      <w:outlineLvl w:val="3"/>
    </w:pPr>
    <w:rPr>
      <w:rFonts w:ascii="Arial" w:eastAsia="Times New Roman" w:hAnsi="Arial" w:cs="Arial"/>
      <w:b/>
      <w:bCs/>
      <w:color w:val="000080"/>
      <w:sz w:val="26"/>
      <w:szCs w:val="26"/>
    </w:rPr>
  </w:style>
  <w:style w:type="paragraph" w:customStyle="1" w:styleId="headL3">
    <w:name w:val="head:L3"/>
    <w:rsid w:val="00E579CB"/>
    <w:pPr>
      <w:keepNext/>
      <w:keepLines/>
      <w:widowControl w:val="0"/>
      <w:autoSpaceDE w:val="0"/>
      <w:autoSpaceDN w:val="0"/>
      <w:spacing w:before="120" w:after="60"/>
      <w:ind w:left="1418" w:hanging="1418"/>
      <w:outlineLvl w:val="4"/>
    </w:pPr>
    <w:rPr>
      <w:rFonts w:ascii="Arial" w:eastAsia="Times New Roman" w:hAnsi="Arial" w:cs="Arial"/>
      <w:b/>
      <w:bCs/>
      <w:i/>
      <w:iCs/>
      <w:color w:val="000080"/>
      <w:sz w:val="22"/>
      <w:szCs w:val="22"/>
    </w:rPr>
  </w:style>
  <w:style w:type="paragraph" w:customStyle="1" w:styleId="para">
    <w:name w:val="para"/>
    <w:rsid w:val="00E579CB"/>
    <w:pPr>
      <w:keepLines/>
      <w:tabs>
        <w:tab w:val="left" w:pos="0"/>
      </w:tabs>
      <w:autoSpaceDE w:val="0"/>
      <w:autoSpaceDN w:val="0"/>
      <w:spacing w:before="60" w:after="60" w:line="240" w:lineRule="exact"/>
      <w:jc w:val="both"/>
    </w:pPr>
    <w:rPr>
      <w:rFonts w:ascii="Arial" w:eastAsia="Times New Roman" w:hAnsi="Arial" w:cs="Arial"/>
      <w:sz w:val="20"/>
      <w:szCs w:val="20"/>
    </w:rPr>
  </w:style>
  <w:style w:type="character" w:customStyle="1" w:styleId="charparano">
    <w:name w:val="char:para no"/>
    <w:rsid w:val="00E579CB"/>
    <w:rPr>
      <w:rFonts w:ascii="Arial" w:hAnsi="Arial" w:cs="Arial"/>
      <w:b/>
      <w:bCs/>
      <w:color w:val="800000"/>
      <w:sz w:val="22"/>
      <w:szCs w:val="22"/>
      <w:lang w:val="en-US"/>
    </w:rPr>
  </w:style>
  <w:style w:type="paragraph" w:customStyle="1" w:styleId="headL6">
    <w:name w:val="head:L6"/>
    <w:rsid w:val="00E579CB"/>
    <w:pPr>
      <w:keepNext/>
      <w:keepLines/>
      <w:widowControl w:val="0"/>
      <w:autoSpaceDE w:val="0"/>
      <w:autoSpaceDN w:val="0"/>
      <w:spacing w:before="120" w:after="60"/>
      <w:outlineLvl w:val="7"/>
    </w:pPr>
    <w:rPr>
      <w:rFonts w:ascii="Arial" w:eastAsia="Times New Roman" w:hAnsi="Arial" w:cs="Arial"/>
      <w:i/>
      <w:iCs/>
      <w:sz w:val="20"/>
      <w:szCs w:val="20"/>
    </w:rPr>
  </w:style>
  <w:style w:type="paragraph" w:customStyle="1" w:styleId="headL5">
    <w:name w:val="head:L5"/>
    <w:rsid w:val="00E579CB"/>
    <w:pPr>
      <w:keepNext/>
      <w:keepLines/>
      <w:widowControl w:val="0"/>
      <w:autoSpaceDE w:val="0"/>
      <w:autoSpaceDN w:val="0"/>
      <w:spacing w:before="120" w:after="60"/>
      <w:outlineLvl w:val="6"/>
    </w:pPr>
    <w:rPr>
      <w:rFonts w:ascii="Arial" w:eastAsia="Times New Roman" w:hAnsi="Arial" w:cs="Arial"/>
      <w:b/>
      <w:bCs/>
      <w:sz w:val="20"/>
      <w:szCs w:val="20"/>
    </w:rPr>
  </w:style>
  <w:style w:type="character" w:customStyle="1" w:styleId="Chartextbold10pt">
    <w:name w:val="Char:text bold 10 pt"/>
    <w:rsid w:val="00E579CB"/>
    <w:rPr>
      <w:rFonts w:ascii="Arial" w:hAnsi="Arial" w:cs="Arial"/>
      <w:b/>
      <w:bCs/>
      <w:sz w:val="20"/>
      <w:szCs w:val="20"/>
    </w:rPr>
  </w:style>
  <w:style w:type="character" w:customStyle="1" w:styleId="Chartextitalics10pt">
    <w:name w:val="Char:text italics 10 pt"/>
    <w:rsid w:val="00E579CB"/>
    <w:rPr>
      <w:rFonts w:ascii="Arial" w:hAnsi="Arial" w:cs="Arial"/>
      <w:i/>
      <w:iCs/>
      <w:sz w:val="20"/>
      <w:szCs w:val="20"/>
      <w:lang w:val="en-US"/>
    </w:rPr>
  </w:style>
  <w:style w:type="paragraph" w:customStyle="1" w:styleId="Tabletext10pt">
    <w:name w:val="Table:text:10pt"/>
    <w:link w:val="Tabletext10ptChar"/>
    <w:rsid w:val="00E579CB"/>
    <w:pPr>
      <w:keepLines/>
      <w:autoSpaceDE w:val="0"/>
      <w:autoSpaceDN w:val="0"/>
      <w:spacing w:before="40" w:after="40" w:line="240" w:lineRule="exact"/>
    </w:pPr>
    <w:rPr>
      <w:rFonts w:ascii="Arial" w:eastAsia="Times New Roman" w:hAnsi="Arial" w:cs="Arial"/>
      <w:noProof/>
      <w:sz w:val="20"/>
      <w:szCs w:val="20"/>
      <w:lang w:val="en-US"/>
    </w:rPr>
  </w:style>
  <w:style w:type="character" w:customStyle="1" w:styleId="Tabletext10ptChar">
    <w:name w:val="Table:text:10pt Char"/>
    <w:link w:val="Tabletext10pt"/>
    <w:rsid w:val="00E579CB"/>
    <w:rPr>
      <w:rFonts w:ascii="Arial" w:eastAsia="Times New Roman" w:hAnsi="Arial" w:cs="Arial"/>
      <w:noProof/>
      <w:sz w:val="20"/>
      <w:szCs w:val="20"/>
      <w:lang w:val="en-US"/>
    </w:rPr>
  </w:style>
  <w:style w:type="paragraph" w:customStyle="1" w:styleId="acctsheadingnotetoacct">
    <w:name w:val="accts:heading:notetoacct"/>
    <w:rsid w:val="00E579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before="40"/>
    </w:pPr>
    <w:rPr>
      <w:rFonts w:ascii="Arial" w:eastAsia="Times New Roman" w:hAnsi="Arial" w:cs="Arial"/>
      <w:caps/>
      <w:sz w:val="18"/>
      <w:szCs w:val="18"/>
    </w:rPr>
  </w:style>
  <w:style w:type="paragraph" w:customStyle="1" w:styleId="acctsacctname">
    <w:name w:val="accts:acctname"/>
    <w:rsid w:val="00E579CB"/>
    <w:pPr>
      <w:autoSpaceDE w:val="0"/>
      <w:autoSpaceDN w:val="0"/>
      <w:spacing w:line="240" w:lineRule="exact"/>
      <w:jc w:val="center"/>
    </w:pPr>
    <w:rPr>
      <w:rFonts w:ascii="Arial" w:eastAsia="Times New Roman" w:hAnsi="Arial" w:cs="Arial"/>
      <w:b/>
      <w:bCs/>
      <w:caps/>
      <w:color w:val="800000"/>
      <w:sz w:val="18"/>
      <w:szCs w:val="18"/>
      <w:lang w:val="en-US"/>
    </w:rPr>
  </w:style>
  <w:style w:type="paragraph" w:customStyle="1" w:styleId="headL4">
    <w:name w:val="head:L4"/>
    <w:next w:val="Normal"/>
    <w:rsid w:val="00E579CB"/>
    <w:pPr>
      <w:keepNext/>
      <w:keepLines/>
      <w:widowControl w:val="0"/>
      <w:autoSpaceDE w:val="0"/>
      <w:autoSpaceDN w:val="0"/>
      <w:spacing w:before="120" w:after="60"/>
      <w:ind w:left="1418" w:hanging="1418"/>
      <w:outlineLvl w:val="5"/>
    </w:pPr>
    <w:rPr>
      <w:rFonts w:ascii="Arial" w:eastAsia="Times New Roman" w:hAnsi="Arial" w:cs="Arial"/>
      <w:b/>
      <w:bCs/>
      <w:color w:val="000080"/>
      <w:sz w:val="22"/>
      <w:szCs w:val="22"/>
    </w:rPr>
  </w:style>
  <w:style w:type="paragraph" w:customStyle="1" w:styleId="headtabname">
    <w:name w:val="head:tabname"/>
    <w:rsid w:val="00E579CB"/>
    <w:pPr>
      <w:shd w:val="clear" w:color="auto" w:fill="C0C0C0"/>
      <w:autoSpaceDE w:val="0"/>
      <w:autoSpaceDN w:val="0"/>
      <w:spacing w:before="120" w:after="60"/>
      <w:jc w:val="center"/>
      <w:outlineLvl w:val="0"/>
    </w:pPr>
    <w:rPr>
      <w:rFonts w:ascii="Arial" w:eastAsia="Times New Roman" w:hAnsi="Arial" w:cs="Arial"/>
      <w:b/>
      <w:bCs/>
      <w:caps/>
      <w:color w:val="800000"/>
      <w:sz w:val="32"/>
      <w:szCs w:val="32"/>
      <w:lang w:val="en-US"/>
    </w:rPr>
  </w:style>
  <w:style w:type="character" w:customStyle="1" w:styleId="Charsuperscriptno10pt">
    <w:name w:val="Char:superscript_no 10pt"/>
    <w:rsid w:val="00E579CB"/>
    <w:rPr>
      <w:rFonts w:ascii="Arial" w:hAnsi="Arial" w:cs="Arial"/>
      <w:color w:val="auto"/>
      <w:sz w:val="20"/>
      <w:szCs w:val="20"/>
      <w:vertAlign w:val="superscript"/>
    </w:rPr>
  </w:style>
  <w:style w:type="character" w:customStyle="1" w:styleId="Charsubscriptno10pt">
    <w:name w:val="Char:subscript_no 10pt"/>
    <w:rsid w:val="00E579CB"/>
    <w:rPr>
      <w:rFonts w:ascii="Arial" w:hAnsi="Arial" w:cs="Arial"/>
      <w:color w:val="auto"/>
      <w:sz w:val="20"/>
      <w:szCs w:val="20"/>
      <w:vertAlign w:val="subscript"/>
    </w:rPr>
  </w:style>
  <w:style w:type="paragraph" w:customStyle="1" w:styleId="Tabletext9pt">
    <w:name w:val="Table:text:9pt"/>
    <w:rsid w:val="00E579CB"/>
    <w:pPr>
      <w:keepLines/>
      <w:autoSpaceDE w:val="0"/>
      <w:autoSpaceDN w:val="0"/>
      <w:spacing w:before="40" w:after="40" w:line="240" w:lineRule="exact"/>
    </w:pPr>
    <w:rPr>
      <w:rFonts w:ascii="Arial" w:eastAsia="Times New Roman" w:hAnsi="Arial" w:cs="Arial"/>
      <w:noProof/>
      <w:sz w:val="18"/>
      <w:szCs w:val="18"/>
      <w:lang w:val="en-US"/>
    </w:rPr>
  </w:style>
  <w:style w:type="paragraph" w:customStyle="1" w:styleId="Tabletext6pt">
    <w:name w:val="Table:text6pt"/>
    <w:rsid w:val="00E579CB"/>
    <w:pPr>
      <w:keepLines/>
      <w:autoSpaceDE w:val="0"/>
      <w:autoSpaceDN w:val="0"/>
      <w:spacing w:before="40" w:after="40"/>
      <w:jc w:val="both"/>
    </w:pPr>
    <w:rPr>
      <w:rFonts w:ascii="Arial" w:eastAsia="Times New Roman" w:hAnsi="Arial" w:cs="Arial"/>
      <w:noProof/>
      <w:sz w:val="12"/>
      <w:szCs w:val="12"/>
      <w:lang w:val="en-US"/>
    </w:rPr>
  </w:style>
  <w:style w:type="paragraph" w:customStyle="1" w:styleId="Tabletext8pt">
    <w:name w:val="Table:text:8pt"/>
    <w:rsid w:val="00E579CB"/>
    <w:pPr>
      <w:keepLines/>
      <w:autoSpaceDE w:val="0"/>
      <w:autoSpaceDN w:val="0"/>
      <w:spacing w:before="40" w:after="40"/>
    </w:pPr>
    <w:rPr>
      <w:rFonts w:ascii="Arial" w:eastAsia="Times New Roman" w:hAnsi="Arial" w:cs="Arial"/>
      <w:noProof/>
      <w:sz w:val="16"/>
      <w:szCs w:val="16"/>
      <w:lang w:val="en-US"/>
    </w:rPr>
  </w:style>
  <w:style w:type="paragraph" w:customStyle="1" w:styleId="footnotepara">
    <w:name w:val="footnote:para"/>
    <w:rsid w:val="00E579CB"/>
    <w:pPr>
      <w:keepLines/>
      <w:autoSpaceDE w:val="0"/>
      <w:autoSpaceDN w:val="0"/>
      <w:spacing w:before="40" w:after="40"/>
      <w:jc w:val="both"/>
    </w:pPr>
    <w:rPr>
      <w:rFonts w:ascii="Arial" w:eastAsia="Times New Roman" w:hAnsi="Arial" w:cs="Arial"/>
      <w:sz w:val="18"/>
      <w:szCs w:val="18"/>
    </w:rPr>
  </w:style>
  <w:style w:type="character" w:customStyle="1" w:styleId="Chartextboldital10pt">
    <w:name w:val="Char:text bold + ital 10 pt"/>
    <w:rsid w:val="00E579CB"/>
    <w:rPr>
      <w:rFonts w:ascii="Arial" w:hAnsi="Arial" w:cs="Arial"/>
      <w:b/>
      <w:bCs/>
      <w:i/>
      <w:iCs/>
      <w:sz w:val="20"/>
      <w:szCs w:val="20"/>
    </w:rPr>
  </w:style>
  <w:style w:type="character" w:customStyle="1" w:styleId="Tablecharbold9pt">
    <w:name w:val="Table:char bold 9 pt"/>
    <w:rsid w:val="00E579CB"/>
    <w:rPr>
      <w:rFonts w:ascii="Arial" w:hAnsi="Arial" w:cs="Arial"/>
      <w:b/>
      <w:bCs/>
      <w:sz w:val="18"/>
      <w:szCs w:val="18"/>
    </w:rPr>
  </w:style>
  <w:style w:type="character" w:customStyle="1" w:styleId="Tablecharitalics9pt">
    <w:name w:val="Table:char italics 9pt"/>
    <w:rsid w:val="00E579CB"/>
    <w:rPr>
      <w:rFonts w:ascii="Arial" w:hAnsi="Arial" w:cs="Arial"/>
      <w:i/>
      <w:iCs/>
      <w:sz w:val="18"/>
      <w:szCs w:val="18"/>
    </w:rPr>
  </w:style>
  <w:style w:type="character" w:customStyle="1" w:styleId="Tablecharbolditalics9pt">
    <w:name w:val="Table:char bold + italics 9 pt"/>
    <w:rsid w:val="00E579CB"/>
    <w:rPr>
      <w:rFonts w:ascii="Arial" w:hAnsi="Arial" w:cs="Arial"/>
      <w:b/>
      <w:bCs/>
      <w:i/>
      <w:iCs/>
      <w:sz w:val="18"/>
      <w:szCs w:val="18"/>
    </w:rPr>
  </w:style>
  <w:style w:type="character" w:customStyle="1" w:styleId="Tablecharitalics8pt">
    <w:name w:val="Table:char italics 8 pt"/>
    <w:rsid w:val="00E579CB"/>
    <w:rPr>
      <w:rFonts w:ascii="Arial" w:hAnsi="Arial" w:cs="Arial"/>
      <w:i/>
      <w:iCs/>
      <w:sz w:val="16"/>
      <w:szCs w:val="16"/>
    </w:rPr>
  </w:style>
  <w:style w:type="character" w:customStyle="1" w:styleId="Tablecharbold8pt">
    <w:name w:val="Table:char bold 8 pt"/>
    <w:rsid w:val="00E579CB"/>
    <w:rPr>
      <w:rFonts w:ascii="Arial" w:hAnsi="Arial" w:cs="Arial"/>
      <w:b/>
      <w:bCs/>
      <w:sz w:val="16"/>
      <w:szCs w:val="16"/>
    </w:rPr>
  </w:style>
  <w:style w:type="character" w:customStyle="1" w:styleId="Tablecharbolditalics8pt">
    <w:name w:val="Table:char bold + italics 8 pt"/>
    <w:rsid w:val="00E579CB"/>
    <w:rPr>
      <w:rFonts w:ascii="Arial" w:hAnsi="Arial" w:cs="Arial"/>
      <w:b/>
      <w:bCs/>
      <w:i/>
      <w:iCs/>
      <w:sz w:val="16"/>
      <w:szCs w:val="16"/>
    </w:rPr>
  </w:style>
  <w:style w:type="character" w:customStyle="1" w:styleId="Tablecharbold6pt">
    <w:name w:val="Table:char bold 6 pt"/>
    <w:rsid w:val="00E579CB"/>
    <w:rPr>
      <w:rFonts w:ascii="Arial" w:hAnsi="Arial" w:cs="Arial"/>
      <w:b/>
      <w:bCs/>
      <w:sz w:val="12"/>
      <w:szCs w:val="12"/>
    </w:rPr>
  </w:style>
  <w:style w:type="character" w:customStyle="1" w:styleId="Tablecharitalics6pt">
    <w:name w:val="Table:char italics 6 pt"/>
    <w:rsid w:val="00E579CB"/>
    <w:rPr>
      <w:rFonts w:ascii="Arial" w:hAnsi="Arial" w:cs="Arial"/>
      <w:i/>
      <w:iCs/>
      <w:sz w:val="12"/>
      <w:szCs w:val="12"/>
    </w:rPr>
  </w:style>
  <w:style w:type="character" w:customStyle="1" w:styleId="Tablecharbolditalics6pt">
    <w:name w:val="Table:char bold + italics 6 pt"/>
    <w:rsid w:val="00E579CB"/>
    <w:rPr>
      <w:rFonts w:ascii="Arial" w:hAnsi="Arial" w:cs="Arial"/>
      <w:b/>
      <w:bCs/>
      <w:i/>
      <w:iCs/>
      <w:sz w:val="12"/>
      <w:szCs w:val="12"/>
    </w:rPr>
  </w:style>
  <w:style w:type="paragraph" w:customStyle="1" w:styleId="authorsnotehead">
    <w:name w:val="authors note head"/>
    <w:next w:val="Normal"/>
    <w:rsid w:val="00E579CB"/>
    <w:pPr>
      <w:autoSpaceDE w:val="0"/>
      <w:autoSpaceDN w:val="0"/>
      <w:spacing w:before="80" w:after="40" w:line="240" w:lineRule="exact"/>
    </w:pPr>
    <w:rPr>
      <w:rFonts w:ascii="Arial" w:eastAsia="Times New Roman" w:hAnsi="Arial" w:cs="Arial"/>
      <w:b/>
      <w:bCs/>
      <w:i/>
      <w:iCs/>
      <w:noProof/>
      <w:color w:val="000080"/>
      <w:sz w:val="18"/>
      <w:szCs w:val="18"/>
      <w:lang w:val="en-US"/>
    </w:rPr>
  </w:style>
  <w:style w:type="paragraph" w:customStyle="1" w:styleId="authorsnotes">
    <w:name w:val="authors notes"/>
    <w:rsid w:val="00E579CB"/>
    <w:pPr>
      <w:autoSpaceDE w:val="0"/>
      <w:autoSpaceDN w:val="0"/>
      <w:spacing w:before="40" w:after="40" w:line="240" w:lineRule="exact"/>
    </w:pPr>
    <w:rPr>
      <w:rFonts w:ascii="Arial" w:eastAsia="Times New Roman" w:hAnsi="Arial" w:cs="Arial"/>
      <w:noProof/>
      <w:color w:val="000080"/>
      <w:sz w:val="18"/>
      <w:szCs w:val="18"/>
      <w:lang w:val="en-US"/>
    </w:rPr>
  </w:style>
  <w:style w:type="character" w:customStyle="1" w:styleId="charauthorsnotesnew">
    <w:name w:val="char: authors notes new"/>
    <w:rsid w:val="00E579CB"/>
    <w:rPr>
      <w:rFonts w:ascii="Arial" w:hAnsi="Arial" w:cs="Arial"/>
      <w:b/>
      <w:bCs/>
      <w:color w:val="000080"/>
      <w:sz w:val="18"/>
      <w:szCs w:val="18"/>
    </w:rPr>
  </w:style>
  <w:style w:type="character" w:customStyle="1" w:styleId="underlineemphasis">
    <w:name w:val="underline emphasis"/>
    <w:rsid w:val="00E579CB"/>
    <w:rPr>
      <w:color w:val="000080"/>
      <w:u w:val="single"/>
    </w:rPr>
  </w:style>
  <w:style w:type="paragraph" w:customStyle="1" w:styleId="Underlinedouble">
    <w:name w:val="Underline double"/>
    <w:basedOn w:val="para"/>
    <w:rsid w:val="00E579CB"/>
    <w:rPr>
      <w:color w:val="000080"/>
      <w:u w:val="double"/>
    </w:rPr>
  </w:style>
  <w:style w:type="character" w:customStyle="1" w:styleId="Tablecharbolditalics10pt">
    <w:name w:val="Table:char bold + italics 10 pt"/>
    <w:rsid w:val="00E579CB"/>
    <w:rPr>
      <w:rFonts w:ascii="Arial" w:hAnsi="Arial" w:cs="Arial"/>
      <w:b/>
      <w:bCs/>
      <w:i/>
      <w:iCs/>
      <w:sz w:val="20"/>
      <w:szCs w:val="20"/>
    </w:rPr>
  </w:style>
  <w:style w:type="character" w:customStyle="1" w:styleId="Tablecharitalics10pt">
    <w:name w:val="Table:char italics 10 pt"/>
    <w:rsid w:val="00E579CB"/>
    <w:rPr>
      <w:rFonts w:ascii="Arial" w:hAnsi="Arial" w:cs="Arial"/>
      <w:i/>
      <w:iCs/>
      <w:sz w:val="20"/>
      <w:szCs w:val="20"/>
    </w:rPr>
  </w:style>
  <w:style w:type="character" w:customStyle="1" w:styleId="Tablecharbold10pt">
    <w:name w:val="Table:char bold 10 pt"/>
    <w:rsid w:val="00E579CB"/>
    <w:rPr>
      <w:rFonts w:ascii="Arial" w:hAnsi="Arial" w:cs="Arial"/>
      <w:b/>
      <w:bCs/>
      <w:sz w:val="20"/>
      <w:szCs w:val="20"/>
    </w:rPr>
  </w:style>
  <w:style w:type="paragraph" w:styleId="BodyTextIndent">
    <w:name w:val="Body Text Indent"/>
    <w:basedOn w:val="Normal"/>
    <w:link w:val="BodyTextIndentChar"/>
    <w:rsid w:val="00E579CB"/>
    <w:pPr>
      <w:autoSpaceDE w:val="0"/>
      <w:autoSpaceDN w:val="0"/>
      <w:spacing w:before="60" w:line="240" w:lineRule="auto"/>
      <w:ind w:left="360"/>
    </w:pPr>
    <w:rPr>
      <w:rFonts w:ascii="Arial" w:eastAsia="Times New Roman" w:hAnsi="Arial" w:cs="Times New Roman"/>
      <w:sz w:val="20"/>
      <w:szCs w:val="20"/>
      <w:lang w:eastAsia="x-none"/>
    </w:rPr>
  </w:style>
  <w:style w:type="character" w:customStyle="1" w:styleId="BodyTextIndentChar">
    <w:name w:val="Body Text Indent Char"/>
    <w:basedOn w:val="DefaultParagraphFont"/>
    <w:link w:val="BodyTextIndent"/>
    <w:rsid w:val="00E579CB"/>
    <w:rPr>
      <w:rFonts w:ascii="Arial" w:eastAsia="Times New Roman" w:hAnsi="Arial" w:cs="Times New Roman"/>
      <w:sz w:val="20"/>
      <w:szCs w:val="20"/>
      <w:lang w:eastAsia="x-none"/>
    </w:rPr>
  </w:style>
  <w:style w:type="paragraph" w:customStyle="1" w:styleId="xl24">
    <w:name w:val="xl24"/>
    <w:basedOn w:val="Normal"/>
    <w:rsid w:val="00E579CB"/>
    <w:pPr>
      <w:spacing w:before="100" w:beforeAutospacing="1" w:after="100" w:afterAutospacing="1" w:line="240" w:lineRule="auto"/>
      <w:jc w:val="center"/>
    </w:pPr>
    <w:rPr>
      <w:rFonts w:ascii="Arial Unicode MS" w:eastAsia="Times New Roman" w:hAnsi="Arial" w:cs="Arial Unicode MS"/>
      <w:sz w:val="24"/>
    </w:rPr>
  </w:style>
  <w:style w:type="paragraph" w:styleId="NormalIndent">
    <w:name w:val="Normal Indent"/>
    <w:basedOn w:val="Normal"/>
    <w:rsid w:val="00E579CB"/>
    <w:pPr>
      <w:autoSpaceDE w:val="0"/>
      <w:autoSpaceDN w:val="0"/>
      <w:spacing w:before="60" w:after="60" w:line="240" w:lineRule="auto"/>
      <w:ind w:left="720"/>
    </w:pPr>
    <w:rPr>
      <w:rFonts w:ascii="Arial" w:eastAsia="Times New Roman" w:hAnsi="Arial" w:cs="Arial"/>
      <w:sz w:val="20"/>
      <w:szCs w:val="20"/>
    </w:rPr>
  </w:style>
  <w:style w:type="character" w:styleId="HTMLAcronym">
    <w:name w:val="HTML Acronym"/>
    <w:basedOn w:val="DefaultParagraphFont"/>
    <w:rsid w:val="00E579CB"/>
  </w:style>
  <w:style w:type="paragraph" w:customStyle="1" w:styleId="BodyText1">
    <w:name w:val="Body Text1"/>
    <w:basedOn w:val="Normal"/>
    <w:autoRedefine/>
    <w:rsid w:val="00E579CB"/>
    <w:pPr>
      <w:widowControl w:val="0"/>
      <w:tabs>
        <w:tab w:val="right" w:pos="8640"/>
      </w:tabs>
      <w:spacing w:after="0" w:line="240" w:lineRule="auto"/>
    </w:pPr>
    <w:rPr>
      <w:rFonts w:ascii="Times New Roman" w:eastAsia="Times New Roman" w:hAnsi="Times New Roman" w:cs="Times New Roman"/>
      <w:sz w:val="22"/>
      <w:szCs w:val="22"/>
    </w:rPr>
  </w:style>
  <w:style w:type="paragraph" w:customStyle="1" w:styleId="Address">
    <w:name w:val="Address"/>
    <w:basedOn w:val="Normal"/>
    <w:rsid w:val="00E579CB"/>
    <w:pPr>
      <w:framePr w:w="3005" w:h="567" w:hSpace="181" w:vSpace="181" w:wrap="around" w:hAnchor="page" w:xAlign="right" w:yAlign="top" w:anchorLock="1"/>
      <w:pBdr>
        <w:left w:val="single" w:sz="4" w:space="9" w:color="auto"/>
      </w:pBdr>
      <w:spacing w:after="0" w:line="200" w:lineRule="exact"/>
      <w:ind w:right="284"/>
    </w:pPr>
    <w:rPr>
      <w:rFonts w:ascii="Arial" w:eastAsia="Times New Roman" w:hAnsi="Arial" w:cs="Times New Roman"/>
      <w:sz w:val="16"/>
      <w:szCs w:val="20"/>
      <w:lang w:val="en-GB"/>
    </w:rPr>
  </w:style>
  <w:style w:type="paragraph" w:customStyle="1" w:styleId="Ref">
    <w:name w:val="Ref"/>
    <w:basedOn w:val="Normal"/>
    <w:rsid w:val="00E579CB"/>
    <w:pPr>
      <w:spacing w:after="0" w:line="290" w:lineRule="atLeast"/>
    </w:pPr>
    <w:rPr>
      <w:rFonts w:ascii="Arial" w:eastAsia="Times New Roman" w:hAnsi="Arial" w:cs="Times New Roman"/>
      <w:sz w:val="20"/>
      <w:szCs w:val="20"/>
      <w:lang w:val="en-GB"/>
    </w:rPr>
  </w:style>
  <w:style w:type="paragraph" w:customStyle="1" w:styleId="Disclaimer">
    <w:name w:val="Disclaimer"/>
    <w:basedOn w:val="Normal"/>
    <w:rsid w:val="00E579CB"/>
    <w:pPr>
      <w:spacing w:after="0" w:line="200" w:lineRule="exact"/>
    </w:pPr>
    <w:rPr>
      <w:rFonts w:ascii="Arial" w:eastAsia="Times New Roman" w:hAnsi="Arial" w:cs="Times New Roman"/>
      <w:sz w:val="16"/>
      <w:szCs w:val="20"/>
      <w:lang w:val="en-GB"/>
    </w:rPr>
  </w:style>
  <w:style w:type="paragraph" w:customStyle="1" w:styleId="APS2head">
    <w:name w:val="AP S2 head"/>
    <w:rsid w:val="00E579CB"/>
    <w:pPr>
      <w:widowControl w:val="0"/>
      <w:autoSpaceDE w:val="0"/>
      <w:autoSpaceDN w:val="0"/>
      <w:adjustRightInd w:val="0"/>
      <w:ind w:left="283"/>
    </w:pPr>
    <w:rPr>
      <w:rFonts w:ascii="Times New Roman" w:eastAsia="Times New Roman" w:hAnsi="Times New Roman" w:cs="Times New Roman"/>
      <w:i/>
      <w:iCs/>
      <w:color w:val="000000"/>
      <w:sz w:val="20"/>
      <w:szCs w:val="20"/>
      <w:lang w:eastAsia="en-AU"/>
    </w:rPr>
  </w:style>
  <w:style w:type="paragraph" w:customStyle="1" w:styleId="Heading-Note">
    <w:name w:val="Heading - Note"/>
    <w:rsid w:val="00E579CB"/>
    <w:pPr>
      <w:widowControl w:val="0"/>
      <w:autoSpaceDE w:val="0"/>
      <w:autoSpaceDN w:val="0"/>
      <w:adjustRightInd w:val="0"/>
      <w:spacing w:before="283"/>
    </w:pPr>
    <w:rPr>
      <w:rFonts w:ascii="Times New Roman" w:eastAsia="Times New Roman" w:hAnsi="Times New Roman" w:cs="Times New Roman"/>
      <w:b/>
      <w:bCs/>
      <w:color w:val="000000"/>
      <w:lang w:eastAsia="en-AU"/>
    </w:rPr>
  </w:style>
  <w:style w:type="paragraph" w:customStyle="1" w:styleId="Heading-subsection">
    <w:name w:val="Heading - subsection"/>
    <w:rsid w:val="00E579CB"/>
    <w:pPr>
      <w:widowControl w:val="0"/>
      <w:autoSpaceDE w:val="0"/>
      <w:autoSpaceDN w:val="0"/>
      <w:adjustRightInd w:val="0"/>
      <w:spacing w:before="141" w:after="141"/>
    </w:pPr>
    <w:rPr>
      <w:rFonts w:ascii="Times New Roman" w:eastAsia="Times New Roman" w:hAnsi="Times New Roman" w:cs="Times New Roman"/>
      <w:b/>
      <w:bCs/>
      <w:color w:val="000000"/>
      <w:sz w:val="20"/>
      <w:szCs w:val="20"/>
      <w:lang w:eastAsia="en-AU"/>
    </w:rPr>
  </w:style>
  <w:style w:type="paragraph" w:customStyle="1" w:styleId="NormalText">
    <w:name w:val="Normal Text"/>
    <w:rsid w:val="00E579CB"/>
    <w:pPr>
      <w:widowControl w:val="0"/>
      <w:autoSpaceDE w:val="0"/>
      <w:autoSpaceDN w:val="0"/>
      <w:adjustRightInd w:val="0"/>
      <w:spacing w:after="141"/>
      <w:ind w:left="283"/>
    </w:pPr>
    <w:rPr>
      <w:rFonts w:ascii="Times New Roman" w:eastAsia="Times New Roman" w:hAnsi="Times New Roman" w:cs="Times New Roman"/>
      <w:color w:val="000000"/>
      <w:sz w:val="20"/>
      <w:szCs w:val="20"/>
      <w:lang w:eastAsia="en-AU"/>
    </w:rPr>
  </w:style>
  <w:style w:type="paragraph" w:styleId="PlainText">
    <w:name w:val="Plain Text"/>
    <w:basedOn w:val="Normal"/>
    <w:link w:val="PlainTextChar"/>
    <w:rsid w:val="00E579CB"/>
    <w:pPr>
      <w:spacing w:after="0" w:line="240" w:lineRule="auto"/>
    </w:pPr>
    <w:rPr>
      <w:rFonts w:ascii="Courier New" w:eastAsia="Times New Roman" w:hAnsi="Courier New" w:cs="Times New Roman"/>
      <w:sz w:val="20"/>
      <w:szCs w:val="20"/>
      <w:lang w:eastAsia="en-AU"/>
    </w:rPr>
  </w:style>
  <w:style w:type="character" w:customStyle="1" w:styleId="PlainTextChar">
    <w:name w:val="Plain Text Char"/>
    <w:basedOn w:val="DefaultParagraphFont"/>
    <w:link w:val="PlainText"/>
    <w:rsid w:val="00E579CB"/>
    <w:rPr>
      <w:rFonts w:ascii="Courier New" w:eastAsia="Times New Roman" w:hAnsi="Courier New" w:cs="Times New Roman"/>
      <w:sz w:val="20"/>
      <w:szCs w:val="20"/>
      <w:lang w:eastAsia="en-AU"/>
    </w:rPr>
  </w:style>
  <w:style w:type="paragraph" w:styleId="DocumentMap">
    <w:name w:val="Document Map"/>
    <w:basedOn w:val="Normal"/>
    <w:link w:val="DocumentMapChar"/>
    <w:rsid w:val="00E579CB"/>
    <w:pPr>
      <w:shd w:val="clear" w:color="auto" w:fill="000080"/>
      <w:autoSpaceDE w:val="0"/>
      <w:autoSpaceDN w:val="0"/>
      <w:spacing w:before="60" w:after="60" w:line="240" w:lineRule="auto"/>
    </w:pPr>
    <w:rPr>
      <w:rFonts w:ascii="Tahoma" w:eastAsia="Times New Roman" w:hAnsi="Tahoma" w:cs="Times New Roman"/>
      <w:sz w:val="20"/>
      <w:szCs w:val="20"/>
      <w:lang w:eastAsia="x-none"/>
    </w:rPr>
  </w:style>
  <w:style w:type="character" w:customStyle="1" w:styleId="DocumentMapChar">
    <w:name w:val="Document Map Char"/>
    <w:basedOn w:val="DefaultParagraphFont"/>
    <w:link w:val="DocumentMap"/>
    <w:rsid w:val="00E579CB"/>
    <w:rPr>
      <w:rFonts w:ascii="Tahoma" w:eastAsia="Times New Roman" w:hAnsi="Tahoma" w:cs="Times New Roman"/>
      <w:sz w:val="20"/>
      <w:szCs w:val="20"/>
      <w:shd w:val="clear" w:color="auto" w:fill="000080"/>
      <w:lang w:eastAsia="x-none"/>
    </w:rPr>
  </w:style>
  <w:style w:type="paragraph" w:customStyle="1" w:styleId="NoteHeading">
    <w:name w:val="NoteHeading"/>
    <w:basedOn w:val="Normal"/>
    <w:rsid w:val="00E579CB"/>
    <w:pPr>
      <w:spacing w:line="290" w:lineRule="atLeast"/>
    </w:pPr>
    <w:rPr>
      <w:rFonts w:ascii="Times New Roman" w:eastAsia="Times New Roman" w:hAnsi="Times New Roman" w:cs="Times New Roman"/>
      <w:b/>
      <w:sz w:val="28"/>
    </w:rPr>
  </w:style>
  <w:style w:type="paragraph" w:customStyle="1" w:styleId="in">
    <w:name w:val="in"/>
    <w:basedOn w:val="Normal"/>
    <w:rsid w:val="00E579CB"/>
    <w:pPr>
      <w:spacing w:after="0" w:line="240" w:lineRule="auto"/>
    </w:pPr>
    <w:rPr>
      <w:rFonts w:ascii="Times New Roman" w:eastAsia="Times New Roman" w:hAnsi="Times New Roman" w:cs="Times New Roman"/>
      <w:b/>
      <w:sz w:val="20"/>
    </w:rPr>
  </w:style>
  <w:style w:type="paragraph" w:customStyle="1" w:styleId="MediumList2-Accent21">
    <w:name w:val="Medium List 2 - Accent 21"/>
    <w:hidden/>
    <w:rsid w:val="00E579CB"/>
    <w:rPr>
      <w:rFonts w:ascii="HelveticaNeueLT Std Lt" w:eastAsia="Times New Roman" w:hAnsi="HelveticaNeueLT Std Lt" w:cs="Times New Roman"/>
      <w:sz w:val="22"/>
    </w:rPr>
  </w:style>
  <w:style w:type="paragraph" w:customStyle="1" w:styleId="Pa3">
    <w:name w:val="Pa3"/>
    <w:basedOn w:val="Normal"/>
    <w:next w:val="Normal"/>
    <w:uiPriority w:val="99"/>
    <w:rsid w:val="00E579CB"/>
    <w:pPr>
      <w:widowControl w:val="0"/>
      <w:autoSpaceDE w:val="0"/>
      <w:autoSpaceDN w:val="0"/>
      <w:adjustRightInd w:val="0"/>
      <w:spacing w:after="0" w:line="211" w:lineRule="atLeast"/>
    </w:pPr>
    <w:rPr>
      <w:rFonts w:ascii="DIN" w:eastAsia="MS P??" w:hAnsi="DIN" w:cs="Times New Roman"/>
      <w:sz w:val="24"/>
      <w:lang w:val="en-US" w:eastAsia="ja-JP"/>
    </w:rPr>
  </w:style>
  <w:style w:type="paragraph" w:customStyle="1" w:styleId="ColorfulShading-Accent11">
    <w:name w:val="Colorful Shading - Accent 11"/>
    <w:hidden/>
    <w:rsid w:val="00E579CB"/>
    <w:rPr>
      <w:rFonts w:ascii="HelveticaNeueLT Std Lt" w:eastAsia="Times New Roman" w:hAnsi="HelveticaNeueLT Std Lt" w:cs="Times New Roman"/>
      <w:sz w:val="22"/>
    </w:rPr>
  </w:style>
  <w:style w:type="paragraph" w:styleId="Revision">
    <w:name w:val="Revision"/>
    <w:hidden/>
    <w:rsid w:val="00E579CB"/>
    <w:rPr>
      <w:rFonts w:ascii="HelveticaNeueLT Std Lt" w:eastAsia="Times New Roman" w:hAnsi="HelveticaNeueLT Std Lt" w:cs="Times New Roman"/>
      <w:sz w:val="22"/>
    </w:rPr>
  </w:style>
  <w:style w:type="paragraph" w:styleId="NoSpacing">
    <w:name w:val="No Spacing"/>
    <w:qFormat/>
    <w:rsid w:val="00E579CB"/>
    <w:pPr>
      <w:overflowPunct w:val="0"/>
      <w:autoSpaceDE w:val="0"/>
      <w:autoSpaceDN w:val="0"/>
      <w:adjustRightInd w:val="0"/>
      <w:textAlignment w:val="baseline"/>
    </w:pPr>
    <w:rPr>
      <w:rFonts w:ascii="HelveticaNeueLT Std Lt" w:eastAsia="Times New Roman" w:hAnsi="HelveticaNeueLT Std Lt" w:cs="Times New Roman"/>
      <w:sz w:val="22"/>
    </w:rPr>
  </w:style>
  <w:style w:type="paragraph" w:customStyle="1" w:styleId="bodysubhead">
    <w:name w:val="bodysubhead"/>
    <w:basedOn w:val="Normal"/>
    <w:uiPriority w:val="99"/>
    <w:rsid w:val="00685439"/>
    <w:pPr>
      <w:autoSpaceDE w:val="0"/>
      <w:autoSpaceDN w:val="0"/>
      <w:adjustRightInd w:val="0"/>
      <w:spacing w:before="170" w:after="57" w:line="280" w:lineRule="atLeast"/>
      <w:textAlignment w:val="center"/>
    </w:pPr>
    <w:rPr>
      <w:rFonts w:ascii="Gotham-Bold" w:hAnsi="Gotham-Bold" w:cs="Gotham-Bold"/>
      <w:b/>
      <w:bCs/>
      <w:color w:val="000000"/>
      <w:spacing w:val="8"/>
      <w:sz w:val="28"/>
      <w:szCs w:val="28"/>
      <w:lang w:val="en-US"/>
    </w:rPr>
  </w:style>
  <w:style w:type="paragraph" w:customStyle="1" w:styleId="subhead">
    <w:name w:val="subhead"/>
    <w:basedOn w:val="NoParagraphStyle"/>
    <w:uiPriority w:val="99"/>
    <w:rsid w:val="00685439"/>
    <w:pPr>
      <w:spacing w:before="85" w:after="57" w:line="280" w:lineRule="atLeast"/>
    </w:pPr>
    <w:rPr>
      <w:rFonts w:ascii="Gotham-Medium" w:hAnsi="Gotham-Medium" w:cs="Gotham-Medium"/>
      <w:spacing w:val="7"/>
      <w:lang w:val="en-US"/>
    </w:rPr>
  </w:style>
  <w:style w:type="paragraph" w:customStyle="1" w:styleId="PresentationsSubhead">
    <w:name w:val="Presentations Subhead"/>
    <w:basedOn w:val="bodysubhead"/>
    <w:uiPriority w:val="99"/>
    <w:rsid w:val="00685439"/>
    <w:pPr>
      <w:spacing w:before="340" w:line="230" w:lineRule="atLeast"/>
    </w:pPr>
    <w:rPr>
      <w:color w:val="FF8726"/>
      <w:spacing w:val="1"/>
    </w:rPr>
  </w:style>
  <w:style w:type="paragraph" w:customStyle="1" w:styleId="Bodysmall8">
    <w:name w:val="Body small 8"/>
    <w:basedOn w:val="body"/>
    <w:uiPriority w:val="99"/>
    <w:rsid w:val="00685439"/>
    <w:pPr>
      <w:spacing w:after="57" w:line="230" w:lineRule="atLeast"/>
    </w:pPr>
    <w:rPr>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www.summerfoundation.org.au/" TargetMode="External"/><Relationship Id="rId1" Type="http://schemas.openxmlformats.org/officeDocument/2006/relationships/hyperlink" Target="https://www.summerfoundation.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mmerfoundation/Library/Group%20Containers/UBF8T346G9.Office/User%20Content.localized/Templates.localized/Summer%20Foundat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F482F-012A-6F42-9755-33A05085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Summer Foundation TEmplate-2.dotx</Template>
  <TotalTime>4</TotalTime>
  <Pages>57</Pages>
  <Words>14079</Words>
  <Characters>80252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Marcus Oliver</cp:lastModifiedBy>
  <cp:revision>4</cp:revision>
  <cp:lastPrinted>2019-05-22T01:03:00Z</cp:lastPrinted>
  <dcterms:created xsi:type="dcterms:W3CDTF">2019-11-19T04:49:00Z</dcterms:created>
  <dcterms:modified xsi:type="dcterms:W3CDTF">2019-11-28T22:39:00Z</dcterms:modified>
  <cp:category/>
</cp:coreProperties>
</file>